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86D8A">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第一章</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乐山市五通桥区人民医院</w:t>
      </w:r>
    </w:p>
    <w:p w14:paraId="4FEA2787">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院内</w:t>
      </w:r>
      <w:r>
        <w:rPr>
          <w:rFonts w:hint="eastAsia" w:ascii="黑体" w:hAnsi="黑体" w:eastAsia="黑体" w:cs="黑体"/>
          <w:color w:val="FF0000"/>
          <w:sz w:val="36"/>
          <w:szCs w:val="36"/>
          <w:lang w:val="en-US" w:eastAsia="zh-CN"/>
        </w:rPr>
        <w:t>采购</w:t>
      </w:r>
      <w:r>
        <w:rPr>
          <w:rFonts w:hint="eastAsia" w:ascii="黑体" w:hAnsi="黑体" w:eastAsia="黑体" w:cs="黑体"/>
          <w:sz w:val="36"/>
          <w:szCs w:val="36"/>
          <w:lang w:eastAsia="zh-CN"/>
        </w:rPr>
        <w:t>采购公告</w:t>
      </w:r>
    </w:p>
    <w:p w14:paraId="7E40A9DF">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555555"/>
          <w:kern w:val="0"/>
          <w:sz w:val="28"/>
          <w:szCs w:val="28"/>
          <w:lang w:eastAsia="zh-CN"/>
        </w:rPr>
      </w:pPr>
    </w:p>
    <w:p w14:paraId="52CBC63B">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采购项目名称：2025年组织春游活动</w:t>
      </w:r>
    </w:p>
    <w:p w14:paraId="5407005E">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1280" w:firstLineChars="400"/>
        <w:jc w:val="left"/>
        <w:textAlignment w:val="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eastAsia="zh-CN"/>
        </w:rPr>
        <w:t>项目采购编号：</w:t>
      </w:r>
      <w:r>
        <w:rPr>
          <w:rFonts w:hint="eastAsia" w:ascii="仿宋" w:hAnsi="仿宋" w:eastAsia="仿宋" w:cs="仿宋"/>
          <w:color w:val="555555"/>
          <w:kern w:val="0"/>
          <w:sz w:val="32"/>
          <w:szCs w:val="32"/>
          <w:lang w:val="en-US" w:eastAsia="zh-CN"/>
        </w:rPr>
        <w:t xml:space="preserve">GHCG2025001    </w:t>
      </w:r>
    </w:p>
    <w:p w14:paraId="504BE744">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1280" w:firstLineChars="4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采购项目内容（详细要求请看附件）：</w:t>
      </w:r>
    </w:p>
    <w:p w14:paraId="4A475AD5">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二、参加采购的供应商数量：三家及以上；在乐山市五通桥区人民医院官方网站上发布公告（https://www.wtqqrmyy.cn/）；本项目若有补遗或更正公告会在官网上发布，请参加采购的供应商随时关注；若因以上原因造成的损失由供应商自行负责。</w:t>
      </w:r>
    </w:p>
    <w:p w14:paraId="0C48E796">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eastAsia="zh-CN"/>
        </w:rPr>
      </w:pPr>
      <w:r>
        <w:rPr>
          <w:rFonts w:hint="eastAsia" w:ascii="仿宋" w:hAnsi="仿宋" w:eastAsia="仿宋" w:cs="仿宋"/>
          <w:color w:val="555555"/>
          <w:kern w:val="0"/>
          <w:sz w:val="32"/>
          <w:szCs w:val="32"/>
          <w:lang w:val="en-US" w:eastAsia="zh-CN"/>
        </w:rPr>
        <w:t>三</w:t>
      </w:r>
      <w:r>
        <w:rPr>
          <w:rFonts w:hint="eastAsia" w:ascii="仿宋" w:hAnsi="仿宋" w:eastAsia="仿宋" w:cs="仿宋"/>
          <w:color w:val="555555"/>
          <w:kern w:val="0"/>
          <w:sz w:val="32"/>
          <w:szCs w:val="32"/>
          <w:lang w:eastAsia="zh-CN"/>
        </w:rPr>
        <w:t>、供应商参加本次采购活动</w:t>
      </w:r>
      <w:r>
        <w:rPr>
          <w:rFonts w:hint="eastAsia" w:ascii="仿宋" w:hAnsi="仿宋" w:eastAsia="仿宋" w:cs="仿宋"/>
          <w:color w:val="555555"/>
          <w:kern w:val="0"/>
          <w:sz w:val="32"/>
          <w:szCs w:val="32"/>
          <w:lang w:val="en-US" w:eastAsia="zh-CN"/>
        </w:rPr>
        <w:t>需要</w:t>
      </w:r>
      <w:r>
        <w:rPr>
          <w:rFonts w:hint="eastAsia" w:ascii="仿宋" w:hAnsi="仿宋" w:eastAsia="仿宋" w:cs="仿宋"/>
          <w:color w:val="555555"/>
          <w:kern w:val="0"/>
          <w:sz w:val="32"/>
          <w:szCs w:val="32"/>
          <w:lang w:eastAsia="zh-CN"/>
        </w:rPr>
        <w:t>提交的资料：</w:t>
      </w:r>
    </w:p>
    <w:p w14:paraId="3DB55AE9">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1.潜在响应供应商可直接从本公告的附件中下载相关文件（如对文件有异议，应在本公告的有效时间电话询问或以书面提出合理质疑。公告到期后未收到书面质疑，视为潜在供应商认同文件的全部内容，采购办不再受理响应供应商对采购公告或相关文件的质疑。）</w:t>
      </w:r>
    </w:p>
    <w:p w14:paraId="783C53A1">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2.提交资料应按照采购文件中的承诺函、廉洁承诺书、采购资质要求、技术及商务要求提供2套。</w:t>
      </w:r>
    </w:p>
    <w:p w14:paraId="620E643A">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3.报价以及资料，采购响应文件封面请注明项目名称、联系人、联系电话、自行密封并加盖公章。</w:t>
      </w:r>
    </w:p>
    <w:p w14:paraId="363A635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4.请满足上述资质要求的供应商于</w:t>
      </w:r>
      <w:r>
        <w:rPr>
          <w:rFonts w:hint="eastAsia" w:ascii="仿宋" w:hAnsi="仿宋" w:eastAsia="仿宋" w:cs="仿宋"/>
          <w:color w:val="FF0000"/>
          <w:kern w:val="0"/>
          <w:sz w:val="32"/>
          <w:szCs w:val="32"/>
          <w:lang w:val="en-US" w:eastAsia="zh-CN"/>
        </w:rPr>
        <w:t>2025年3月11日17:00</w:t>
      </w:r>
      <w:r>
        <w:rPr>
          <w:rFonts w:hint="eastAsia" w:ascii="仿宋" w:hAnsi="仿宋" w:eastAsia="仿宋" w:cs="仿宋"/>
          <w:color w:val="555555"/>
          <w:kern w:val="0"/>
          <w:sz w:val="32"/>
          <w:szCs w:val="32"/>
          <w:lang w:val="en-US" w:eastAsia="zh-CN"/>
        </w:rPr>
        <w:t>之前将资料送至乐山市五通桥区人民医院采购办（行政楼三楼楼梯处），在截至时间以后送到的响应文件将被拒绝并退还给供应商。</w:t>
      </w:r>
    </w:p>
    <w:p w14:paraId="6E635C9D">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四、其他要求（参加采购的供应商视为全部接受以下条款）</w:t>
      </w:r>
    </w:p>
    <w:p w14:paraId="70BFA8F1">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1.方案报价在30日内有效，报价包括供应商履约过程中的服务费、人工、差旅、保险、税金与供应商履约所需要的其他所有费用。</w:t>
      </w:r>
    </w:p>
    <w:p w14:paraId="2DF64BFA">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2.在供应商满足相关资质要求及服务要求的条件下，采购采用</w:t>
      </w:r>
      <w:r>
        <w:rPr>
          <w:rFonts w:hint="eastAsia" w:ascii="仿宋" w:hAnsi="仿宋" w:eastAsia="仿宋" w:cs="仿宋"/>
          <w:color w:val="FF0000"/>
          <w:kern w:val="0"/>
          <w:sz w:val="32"/>
          <w:szCs w:val="32"/>
          <w:lang w:val="en-US" w:eastAsia="zh-CN"/>
        </w:rPr>
        <w:t>综合评分法（一次报价）</w:t>
      </w:r>
      <w:r>
        <w:rPr>
          <w:rFonts w:hint="eastAsia" w:ascii="仿宋" w:hAnsi="仿宋" w:eastAsia="仿宋" w:cs="仿宋"/>
          <w:color w:val="555555"/>
          <w:kern w:val="0"/>
          <w:sz w:val="32"/>
          <w:szCs w:val="32"/>
          <w:lang w:val="en-US" w:eastAsia="zh-CN"/>
        </w:rPr>
        <w:t>，中标结果由医院网站公示，中标公司请在公示后30日内到采购办签订合同，超过公示后30日不响应签订合同的视为放弃中标资格，放弃中标资格或因不可抗力提出不能履行合同的，将按照排名先后顺序依次替补或重新招采。</w:t>
      </w:r>
    </w:p>
    <w:p w14:paraId="1F96F765">
      <w:pPr>
        <w:pStyle w:val="16"/>
        <w:spacing w:line="240" w:lineRule="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3.本项目不接受联合体，不允许分包。</w:t>
      </w:r>
    </w:p>
    <w:p w14:paraId="77572E2E">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rPr>
        <w:t>联系人:</w:t>
      </w:r>
      <w:r>
        <w:rPr>
          <w:rFonts w:hint="eastAsia" w:ascii="仿宋" w:hAnsi="仿宋" w:eastAsia="仿宋" w:cs="仿宋"/>
          <w:color w:val="FF0000"/>
          <w:kern w:val="0"/>
          <w:sz w:val="32"/>
          <w:szCs w:val="32"/>
          <w:lang w:val="en-US" w:eastAsia="zh-CN"/>
        </w:rPr>
        <w:t>杨老师</w:t>
      </w:r>
      <w:r>
        <w:rPr>
          <w:rFonts w:hint="eastAsia" w:ascii="仿宋" w:hAnsi="仿宋" w:eastAsia="仿宋" w:cs="仿宋"/>
          <w:color w:val="FF0000"/>
          <w:kern w:val="0"/>
          <w:sz w:val="32"/>
          <w:szCs w:val="32"/>
        </w:rPr>
        <w:t xml:space="preserve"> </w:t>
      </w:r>
      <w:r>
        <w:rPr>
          <w:rFonts w:hint="eastAsia" w:ascii="仿宋" w:hAnsi="仿宋" w:eastAsia="仿宋" w:cs="仿宋"/>
          <w:color w:val="555555"/>
          <w:kern w:val="0"/>
          <w:sz w:val="32"/>
          <w:szCs w:val="32"/>
          <w:lang w:val="en-US" w:eastAsia="zh-CN"/>
        </w:rPr>
        <w:t xml:space="preserve">      </w:t>
      </w:r>
      <w:r>
        <w:rPr>
          <w:rFonts w:hint="eastAsia" w:ascii="仿宋" w:hAnsi="仿宋" w:eastAsia="仿宋" w:cs="仿宋"/>
          <w:color w:val="555555"/>
          <w:kern w:val="0"/>
          <w:sz w:val="32"/>
          <w:szCs w:val="32"/>
        </w:rPr>
        <w:t>联系电话:</w:t>
      </w:r>
      <w:r>
        <w:rPr>
          <w:rFonts w:hint="eastAsia" w:ascii="仿宋" w:hAnsi="仿宋" w:eastAsia="仿宋" w:cs="仿宋"/>
          <w:color w:val="555555"/>
          <w:kern w:val="0"/>
          <w:sz w:val="32"/>
          <w:szCs w:val="32"/>
          <w:lang w:val="en-US" w:eastAsia="zh-CN"/>
        </w:rPr>
        <w:t>0833-3358145</w:t>
      </w:r>
    </w:p>
    <w:p w14:paraId="2927CA33">
      <w:pPr>
        <w:jc w:val="right"/>
        <w:rPr>
          <w:rFonts w:hint="default" w:ascii="黑体" w:hAnsi="黑体" w:eastAsia="黑体" w:cs="黑体"/>
          <w:b/>
          <w:bCs/>
          <w:color w:val="auto"/>
          <w:sz w:val="72"/>
          <w:szCs w:val="72"/>
          <w:lang w:val="en-US" w:eastAsia="zh-CN"/>
        </w:rPr>
      </w:pPr>
      <w:r>
        <w:rPr>
          <w:rFonts w:hint="eastAsia" w:ascii="仿宋" w:hAnsi="仿宋" w:eastAsia="仿宋" w:cs="仿宋"/>
          <w:color w:val="555555"/>
          <w:kern w:val="0"/>
          <w:sz w:val="32"/>
          <w:szCs w:val="32"/>
          <w:lang w:val="en-US" w:eastAsia="zh-CN"/>
        </w:rPr>
        <w:t>乐山市五通桥区人民医院工会委员会</w:t>
      </w:r>
    </w:p>
    <w:p w14:paraId="0C005918">
      <w:pPr>
        <w:pStyle w:val="5"/>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14:paraId="4A68482B">
      <w:pPr>
        <w:pStyle w:val="30"/>
        <w:spacing w:line="240" w:lineRule="auto"/>
        <w:rPr>
          <w:rFonts w:hint="eastAsia"/>
          <w:lang w:eastAsia="zh-CN"/>
        </w:rPr>
      </w:pPr>
    </w:p>
    <w:p w14:paraId="752D63B9">
      <w:pPr>
        <w:spacing w:line="240" w:lineRule="auto"/>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一、院内采购总则</w:t>
      </w:r>
    </w:p>
    <w:p w14:paraId="47C86D68">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w:t>
      </w:r>
      <w:r>
        <w:rPr>
          <w:rFonts w:hint="eastAsia" w:ascii="仿宋" w:hAnsi="仿宋" w:eastAsia="仿宋" w:cs="仿宋"/>
          <w:sz w:val="32"/>
          <w:szCs w:val="32"/>
          <w:lang w:val="en-US" w:eastAsia="zh-CN"/>
        </w:rPr>
        <w:t>采购</w:t>
      </w:r>
      <w:r>
        <w:rPr>
          <w:rFonts w:hint="eastAsia" w:ascii="仿宋" w:hAnsi="仿宋" w:eastAsia="仿宋" w:cs="仿宋"/>
          <w:sz w:val="32"/>
          <w:szCs w:val="32"/>
        </w:rPr>
        <w:t>项目参照《中华人民共和国政府采购法》《四川省政府采购非招标采购方式实施办法》等有关法律、法规和规章，通过</w:t>
      </w:r>
      <w:r>
        <w:rPr>
          <w:rFonts w:hint="eastAsia" w:ascii="仿宋" w:hAnsi="仿宋" w:eastAsia="仿宋" w:cs="仿宋"/>
          <w:color w:val="FF0000"/>
          <w:sz w:val="32"/>
          <w:szCs w:val="32"/>
          <w:lang w:val="en-US" w:eastAsia="zh-CN"/>
        </w:rPr>
        <w:t>综合评分</w:t>
      </w:r>
      <w:r>
        <w:rPr>
          <w:rFonts w:hint="eastAsia" w:ascii="仿宋" w:hAnsi="仿宋" w:eastAsia="仿宋" w:cs="仿宋"/>
          <w:sz w:val="32"/>
          <w:szCs w:val="32"/>
          <w:lang w:val="en-US" w:eastAsia="zh-CN"/>
        </w:rPr>
        <w:t>的</w:t>
      </w:r>
      <w:r>
        <w:rPr>
          <w:rFonts w:hint="eastAsia" w:ascii="仿宋" w:hAnsi="仿宋" w:eastAsia="仿宋" w:cs="仿宋"/>
          <w:sz w:val="32"/>
          <w:szCs w:val="32"/>
        </w:rPr>
        <w:t>方式确定成交供应商。</w:t>
      </w:r>
    </w:p>
    <w:p w14:paraId="3B6BCC48">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本项目</w:t>
      </w:r>
      <w:r>
        <w:rPr>
          <w:rFonts w:hint="eastAsia" w:ascii="仿宋" w:hAnsi="仿宋" w:eastAsia="仿宋" w:cs="仿宋"/>
          <w:sz w:val="32"/>
          <w:szCs w:val="32"/>
          <w:lang w:eastAsia="zh-CN"/>
        </w:rPr>
        <w:t>采购</w:t>
      </w:r>
      <w:r>
        <w:rPr>
          <w:rFonts w:hint="eastAsia" w:ascii="仿宋" w:hAnsi="仿宋" w:eastAsia="仿宋" w:cs="仿宋"/>
          <w:sz w:val="32"/>
          <w:szCs w:val="32"/>
        </w:rPr>
        <w:t>范围包括价格、质量、服务等方面内容，交货时间在合同中约定。</w:t>
      </w:r>
    </w:p>
    <w:p w14:paraId="411BB50B">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本采购项目最低要求：符合资质条件、技术参数及商务要求且报价不超过最高限价。</w:t>
      </w:r>
    </w:p>
    <w:p w14:paraId="04614F0E">
      <w:pPr>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供应商自行承担本项目</w:t>
      </w:r>
      <w:r>
        <w:rPr>
          <w:rFonts w:hint="eastAsia" w:ascii="仿宋" w:hAnsi="仿宋" w:eastAsia="仿宋" w:cs="仿宋"/>
          <w:sz w:val="32"/>
          <w:szCs w:val="32"/>
          <w:lang w:val="en-US" w:eastAsia="zh-CN"/>
        </w:rPr>
        <w:t>采购</w:t>
      </w:r>
      <w:r>
        <w:rPr>
          <w:rFonts w:hint="eastAsia" w:ascii="仿宋" w:hAnsi="仿宋" w:eastAsia="仿宋" w:cs="仿宋"/>
          <w:sz w:val="32"/>
          <w:szCs w:val="32"/>
        </w:rPr>
        <w:t>活动所发生</w:t>
      </w:r>
      <w:r>
        <w:rPr>
          <w:rFonts w:hint="eastAsia" w:ascii="仿宋" w:hAnsi="仿宋" w:eastAsia="仿宋" w:cs="仿宋"/>
          <w:sz w:val="32"/>
          <w:szCs w:val="32"/>
          <w:lang w:eastAsia="zh-CN"/>
        </w:rPr>
        <w:t>现场踏勘、标书制作等</w:t>
      </w:r>
      <w:r>
        <w:rPr>
          <w:rFonts w:hint="eastAsia" w:ascii="仿宋" w:hAnsi="仿宋" w:eastAsia="仿宋" w:cs="仿宋"/>
          <w:sz w:val="32"/>
          <w:szCs w:val="32"/>
        </w:rPr>
        <w:t>费用。</w:t>
      </w:r>
    </w:p>
    <w:p w14:paraId="57FEB435">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采购</w:t>
      </w:r>
      <w:r>
        <w:rPr>
          <w:rFonts w:hint="eastAsia" w:ascii="仿宋" w:hAnsi="仿宋" w:eastAsia="仿宋" w:cs="仿宋"/>
          <w:b/>
          <w:bCs/>
          <w:sz w:val="32"/>
          <w:szCs w:val="32"/>
        </w:rPr>
        <w:t>响应文件的编制</w:t>
      </w:r>
    </w:p>
    <w:p w14:paraId="3D9AA500">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采购</w:t>
      </w:r>
      <w:r>
        <w:rPr>
          <w:rFonts w:hint="eastAsia" w:ascii="仿宋" w:hAnsi="仿宋" w:eastAsia="仿宋" w:cs="仿宋"/>
          <w:sz w:val="32"/>
          <w:szCs w:val="32"/>
        </w:rPr>
        <w:t>响应文件的密封：须提供标书一份，密封于一个包装袋内，封口处加盖单位鲜章，封面须注明：“项目名称：        ”，“项目编号：     ”，“于   年  月  日  时  分前不得拆封”等字样。未按询价文件要求密封的响应文件将被拒收。</w:t>
      </w:r>
    </w:p>
    <w:p w14:paraId="499EFADB">
      <w:p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采购</w:t>
      </w:r>
      <w:r>
        <w:rPr>
          <w:rFonts w:hint="eastAsia" w:ascii="仿宋" w:hAnsi="仿宋" w:eastAsia="仿宋" w:cs="仿宋"/>
          <w:sz w:val="32"/>
          <w:szCs w:val="32"/>
        </w:rPr>
        <w:t>响应文件</w:t>
      </w:r>
      <w:r>
        <w:rPr>
          <w:rFonts w:hint="eastAsia" w:ascii="仿宋" w:hAnsi="仿宋" w:eastAsia="仿宋" w:cs="仿宋"/>
          <w:sz w:val="32"/>
          <w:szCs w:val="32"/>
          <w:lang w:eastAsia="zh-CN"/>
        </w:rPr>
        <w:t>分正（副）本装订</w:t>
      </w:r>
      <w:r>
        <w:rPr>
          <w:rFonts w:hint="eastAsia" w:ascii="仿宋" w:hAnsi="仿宋" w:eastAsia="仿宋" w:cs="仿宋"/>
          <w:sz w:val="32"/>
          <w:szCs w:val="32"/>
        </w:rPr>
        <w:t>，</w:t>
      </w:r>
      <w:r>
        <w:rPr>
          <w:rFonts w:hint="eastAsia" w:ascii="仿宋" w:hAnsi="仿宋" w:eastAsia="仿宋" w:cs="仿宋"/>
          <w:sz w:val="32"/>
          <w:szCs w:val="32"/>
          <w:lang w:eastAsia="zh-CN"/>
        </w:rPr>
        <w:t>一正</w:t>
      </w:r>
      <w:r>
        <w:rPr>
          <w:rFonts w:hint="eastAsia" w:ascii="仿宋" w:hAnsi="仿宋" w:eastAsia="仿宋" w:cs="仿宋"/>
          <w:sz w:val="32"/>
          <w:szCs w:val="32"/>
          <w:lang w:val="en-US" w:eastAsia="zh-Hans"/>
        </w:rPr>
        <w:t>一</w:t>
      </w:r>
      <w:r>
        <w:rPr>
          <w:rFonts w:hint="eastAsia" w:ascii="仿宋" w:hAnsi="仿宋" w:eastAsia="仿宋" w:cs="仿宋"/>
          <w:sz w:val="32"/>
          <w:szCs w:val="32"/>
          <w:lang w:eastAsia="zh-CN"/>
        </w:rPr>
        <w:t>副，</w:t>
      </w:r>
      <w:r>
        <w:rPr>
          <w:rFonts w:hint="eastAsia" w:ascii="仿宋" w:hAnsi="仿宋" w:eastAsia="仿宋" w:cs="仿宋"/>
          <w:sz w:val="32"/>
          <w:szCs w:val="32"/>
        </w:rPr>
        <w:t>须用A4幅面纸张打印装订</w:t>
      </w:r>
      <w:r>
        <w:rPr>
          <w:rFonts w:hint="eastAsia" w:ascii="仿宋" w:hAnsi="仿宋" w:eastAsia="仿宋" w:cs="仿宋"/>
          <w:sz w:val="32"/>
          <w:szCs w:val="32"/>
          <w:lang w:eastAsia="zh-CN"/>
        </w:rPr>
        <w:t>。</w:t>
      </w:r>
    </w:p>
    <w:p w14:paraId="7023D98A">
      <w:p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采购</w:t>
      </w:r>
      <w:r>
        <w:rPr>
          <w:rFonts w:hint="eastAsia" w:ascii="仿宋" w:hAnsi="仿宋" w:eastAsia="仿宋" w:cs="仿宋"/>
          <w:sz w:val="32"/>
          <w:szCs w:val="32"/>
        </w:rPr>
        <w:t>响应文件的打印和书写应清楚工整，签字确认并加盖公章，否则无效。供应商为法人的，应当由其法定代表人或者代理人签字确认。</w:t>
      </w:r>
    </w:p>
    <w:p w14:paraId="6981F7BD">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bCs/>
          <w:sz w:val="32"/>
          <w:szCs w:val="32"/>
          <w:lang w:eastAsia="zh-CN"/>
        </w:rPr>
        <w:t>院内采购</w:t>
      </w:r>
      <w:r>
        <w:rPr>
          <w:rFonts w:hint="eastAsia" w:ascii="仿宋" w:hAnsi="仿宋" w:eastAsia="仿宋" w:cs="仿宋"/>
          <w:b/>
          <w:bCs/>
          <w:sz w:val="32"/>
          <w:szCs w:val="32"/>
        </w:rPr>
        <w:t>会议的召开</w:t>
      </w:r>
    </w:p>
    <w:p w14:paraId="5CC7BC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lang w:eastAsia="zh-CN"/>
        </w:rPr>
        <w:t>院内采购</w:t>
      </w:r>
      <w:r>
        <w:rPr>
          <w:rFonts w:hint="eastAsia" w:ascii="仿宋" w:hAnsi="仿宋" w:eastAsia="仿宋" w:cs="仿宋"/>
          <w:sz w:val="32"/>
          <w:szCs w:val="32"/>
        </w:rPr>
        <w:t>会议顺序:</w:t>
      </w:r>
    </w:p>
    <w:p w14:paraId="16780D8A">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院内采购</w:t>
      </w:r>
      <w:r>
        <w:rPr>
          <w:rFonts w:hint="eastAsia" w:ascii="仿宋" w:hAnsi="仿宋" w:eastAsia="仿宋" w:cs="仿宋"/>
          <w:sz w:val="32"/>
          <w:szCs w:val="32"/>
        </w:rPr>
        <w:t>由</w:t>
      </w:r>
      <w:r>
        <w:rPr>
          <w:rFonts w:hint="eastAsia" w:ascii="仿宋" w:hAnsi="仿宋" w:eastAsia="仿宋" w:cs="仿宋"/>
          <w:sz w:val="32"/>
          <w:szCs w:val="32"/>
          <w:lang w:eastAsia="zh-CN"/>
        </w:rPr>
        <w:t>采购办</w:t>
      </w:r>
      <w:r>
        <w:rPr>
          <w:rFonts w:hint="eastAsia" w:ascii="仿宋" w:hAnsi="仿宋" w:eastAsia="仿宋" w:cs="仿宋"/>
          <w:sz w:val="32"/>
          <w:szCs w:val="32"/>
        </w:rPr>
        <w:t>主持；</w:t>
      </w:r>
    </w:p>
    <w:p w14:paraId="411BA029">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由监督人员检查</w:t>
      </w:r>
      <w:r>
        <w:rPr>
          <w:rFonts w:hint="eastAsia" w:ascii="仿宋" w:hAnsi="仿宋" w:eastAsia="仿宋" w:cs="仿宋"/>
          <w:sz w:val="32"/>
          <w:szCs w:val="32"/>
          <w:lang w:eastAsia="zh-CN"/>
        </w:rPr>
        <w:t>采购</w:t>
      </w:r>
      <w:r>
        <w:rPr>
          <w:rFonts w:hint="eastAsia" w:ascii="仿宋" w:hAnsi="仿宋" w:eastAsia="仿宋" w:cs="仿宋"/>
          <w:sz w:val="32"/>
          <w:szCs w:val="32"/>
        </w:rPr>
        <w:t>响应文件密封情况；</w:t>
      </w:r>
    </w:p>
    <w:p w14:paraId="3B27866B">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将符合密封要求的资格、技术商务、报价</w:t>
      </w:r>
      <w:r>
        <w:rPr>
          <w:rFonts w:hint="eastAsia" w:ascii="仿宋" w:hAnsi="仿宋" w:eastAsia="仿宋" w:cs="仿宋"/>
          <w:sz w:val="32"/>
          <w:szCs w:val="32"/>
          <w:lang w:val="en-US" w:eastAsia="zh-CN"/>
        </w:rPr>
        <w:t>响应</w:t>
      </w:r>
      <w:r>
        <w:rPr>
          <w:rFonts w:hint="eastAsia" w:ascii="仿宋" w:hAnsi="仿宋" w:eastAsia="仿宋" w:cs="仿宋"/>
          <w:sz w:val="32"/>
          <w:szCs w:val="32"/>
        </w:rPr>
        <w:t>文件送</w:t>
      </w:r>
      <w:r>
        <w:rPr>
          <w:rFonts w:hint="eastAsia" w:ascii="仿宋" w:hAnsi="仿宋" w:eastAsia="仿宋" w:cs="仿宋"/>
          <w:sz w:val="32"/>
          <w:szCs w:val="32"/>
          <w:lang w:eastAsia="zh-CN"/>
        </w:rPr>
        <w:t>评审</w:t>
      </w:r>
      <w:r>
        <w:rPr>
          <w:rFonts w:hint="eastAsia" w:ascii="仿宋" w:hAnsi="仿宋" w:eastAsia="仿宋" w:cs="仿宋"/>
          <w:sz w:val="32"/>
          <w:szCs w:val="32"/>
        </w:rPr>
        <w:t>小组评审；</w:t>
      </w:r>
    </w:p>
    <w:p w14:paraId="0BF2A081">
      <w:pPr>
        <w:pStyle w:val="7"/>
        <w:spacing w:line="240" w:lineRule="auto"/>
        <w:ind w:left="0" w:leftChars="0" w:firstLine="640" w:firstLineChars="200"/>
        <w:rPr>
          <w:rFonts w:hint="eastAsia" w:ascii="仿宋" w:hAnsi="仿宋" w:eastAsia="仿宋" w:cs="仿宋"/>
          <w:color w:val="000000"/>
          <w:sz w:val="32"/>
          <w:szCs w:val="32"/>
          <w:shd w:val="clear" w:color="auto" w:fill="auto"/>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采购</w:t>
      </w:r>
      <w:r>
        <w:rPr>
          <w:rFonts w:hint="eastAsia" w:ascii="仿宋" w:hAnsi="仿宋" w:eastAsia="仿宋" w:cs="仿宋"/>
          <w:sz w:val="32"/>
          <w:szCs w:val="32"/>
        </w:rPr>
        <w:t>结束后，由</w:t>
      </w:r>
      <w:r>
        <w:rPr>
          <w:rFonts w:hint="eastAsia" w:ascii="仿宋" w:hAnsi="仿宋" w:eastAsia="仿宋" w:cs="仿宋"/>
          <w:sz w:val="32"/>
          <w:szCs w:val="32"/>
          <w:lang w:eastAsia="zh-CN"/>
        </w:rPr>
        <w:t>评审小组根据报价情况</w:t>
      </w:r>
      <w:r>
        <w:rPr>
          <w:rFonts w:hint="eastAsia" w:ascii="仿宋" w:hAnsi="仿宋" w:eastAsia="仿宋" w:cs="仿宋"/>
          <w:sz w:val="32"/>
          <w:szCs w:val="32"/>
        </w:rPr>
        <w:t>，</w:t>
      </w:r>
      <w:r>
        <w:rPr>
          <w:rFonts w:hint="eastAsia" w:ascii="仿宋" w:hAnsi="仿宋" w:eastAsia="仿宋" w:cs="仿宋"/>
          <w:color w:val="000000"/>
          <w:sz w:val="32"/>
          <w:szCs w:val="32"/>
          <w:shd w:val="clear" w:color="auto" w:fill="auto"/>
        </w:rPr>
        <w:t>推荐成交候选供应商。</w:t>
      </w:r>
    </w:p>
    <w:p w14:paraId="2B386358">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、质疑提出与答复</w:t>
      </w:r>
    </w:p>
    <w:p w14:paraId="28EDF903">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供应商对采购文件中资格、技术、商务要求以及对采购文件编制、采购程序的询问或质疑，可以电话进行询问或以书面形式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eastAsia="zh-CN"/>
        </w:rPr>
        <w:t>受理联系人及联系方式见公告</w:t>
      </w:r>
      <w:r>
        <w:rPr>
          <w:rFonts w:hint="eastAsia" w:ascii="仿宋" w:hAnsi="仿宋" w:eastAsia="仿宋" w:cs="仿宋"/>
          <w:sz w:val="32"/>
          <w:szCs w:val="32"/>
          <w:lang w:val="en-US" w:eastAsia="zh-CN"/>
        </w:rPr>
        <w:t>采购办</w:t>
      </w:r>
      <w:r>
        <w:rPr>
          <w:rFonts w:hint="eastAsia" w:ascii="仿宋" w:hAnsi="仿宋" w:eastAsia="仿宋" w:cs="仿宋"/>
          <w:sz w:val="32"/>
          <w:szCs w:val="32"/>
          <w:lang w:val="zh-CN" w:eastAsia="zh-CN"/>
        </w:rPr>
        <w:t>联系人。</w:t>
      </w:r>
    </w:p>
    <w:p w14:paraId="587B39DC">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14:paraId="3A13245A">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14:paraId="2F8001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14:paraId="2E0F0D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采购办</w:t>
      </w:r>
      <w:r>
        <w:rPr>
          <w:rFonts w:hint="eastAsia" w:ascii="仿宋" w:hAnsi="仿宋" w:eastAsia="仿宋" w:cs="仿宋"/>
          <w:sz w:val="32"/>
          <w:szCs w:val="32"/>
        </w:rPr>
        <w:t>将根据</w:t>
      </w:r>
      <w:r>
        <w:rPr>
          <w:rFonts w:hint="eastAsia" w:ascii="仿宋" w:hAnsi="仿宋" w:eastAsia="仿宋" w:cs="仿宋"/>
          <w:sz w:val="32"/>
          <w:szCs w:val="32"/>
          <w:lang w:eastAsia="zh-CN"/>
        </w:rPr>
        <w:t>采购邀请</w:t>
      </w:r>
      <w:r>
        <w:rPr>
          <w:rFonts w:hint="eastAsia" w:ascii="仿宋" w:hAnsi="仿宋" w:eastAsia="仿宋" w:cs="仿宋"/>
          <w:sz w:val="32"/>
          <w:szCs w:val="32"/>
        </w:rPr>
        <w:t>中规定的递交文件截止时间前接受供应商响应文件，并按以下程序组织</w:t>
      </w:r>
      <w:r>
        <w:rPr>
          <w:rFonts w:hint="eastAsia" w:ascii="仿宋" w:hAnsi="仿宋" w:eastAsia="仿宋" w:cs="仿宋"/>
          <w:sz w:val="32"/>
          <w:szCs w:val="32"/>
          <w:lang w:eastAsia="zh-CN"/>
        </w:rPr>
        <w:t>采购</w:t>
      </w:r>
      <w:r>
        <w:rPr>
          <w:rFonts w:hint="eastAsia" w:ascii="仿宋" w:hAnsi="仿宋" w:eastAsia="仿宋" w:cs="仿宋"/>
          <w:sz w:val="32"/>
          <w:szCs w:val="32"/>
        </w:rPr>
        <w:t>：</w:t>
      </w:r>
    </w:p>
    <w:p w14:paraId="77FB99CA">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w:t>
      </w:r>
      <w:r>
        <w:rPr>
          <w:rFonts w:hint="eastAsia" w:ascii="仿宋" w:hAnsi="仿宋" w:eastAsia="仿宋" w:cs="仿宋"/>
          <w:sz w:val="32"/>
          <w:szCs w:val="32"/>
          <w:lang w:eastAsia="zh-CN"/>
        </w:rPr>
        <w:t>采购评审</w:t>
      </w:r>
      <w:r>
        <w:rPr>
          <w:rFonts w:hint="eastAsia" w:ascii="仿宋" w:hAnsi="仿宋" w:eastAsia="仿宋" w:cs="仿宋"/>
          <w:sz w:val="32"/>
          <w:szCs w:val="32"/>
        </w:rPr>
        <w:t>对供应商递交的响应文件进行资格审查和符合性审查。</w:t>
      </w:r>
    </w:p>
    <w:p w14:paraId="36490283">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14:paraId="21B4DEE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14:paraId="2D1FE5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资格不符合要求的；</w:t>
      </w:r>
    </w:p>
    <w:p w14:paraId="44EE35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响应文件未实质性响应</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文件要求的；</w:t>
      </w:r>
    </w:p>
    <w:p w14:paraId="04AF29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响应文件无法定代表人签字，或签字人未被法定代表人授权的</w:t>
      </w:r>
      <w:r>
        <w:rPr>
          <w:rFonts w:hint="eastAsia" w:ascii="仿宋" w:hAnsi="仿宋" w:eastAsia="仿宋" w:cs="仿宋"/>
          <w:color w:val="000000"/>
          <w:sz w:val="32"/>
          <w:szCs w:val="32"/>
          <w:lang w:eastAsia="zh-CN"/>
        </w:rPr>
        <w:t>；</w:t>
      </w:r>
    </w:p>
    <w:p w14:paraId="466F1D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所报总价超出项目预算且无法支付的；</w:t>
      </w:r>
    </w:p>
    <w:p w14:paraId="2FB8F3D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不同</w:t>
      </w:r>
      <w:r>
        <w:rPr>
          <w:rFonts w:hint="eastAsia" w:ascii="仿宋" w:hAnsi="仿宋" w:eastAsia="仿宋" w:cs="仿宋"/>
          <w:kern w:val="0"/>
          <w:sz w:val="32"/>
          <w:szCs w:val="32"/>
        </w:rPr>
        <w:t>供应商负责人为同一人或者存在直接控股、管理关系的；</w:t>
      </w:r>
    </w:p>
    <w:p w14:paraId="70D37B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负偏离。</w:t>
      </w:r>
    </w:p>
    <w:p w14:paraId="68C4AF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中，</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的任何一方不得透露与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有关的其他供应商的技术资料、价格和其他信息。</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轮次一般为一轮（评审</w:t>
      </w:r>
      <w:r>
        <w:rPr>
          <w:rFonts w:hint="eastAsia" w:ascii="仿宋" w:hAnsi="仿宋" w:eastAsia="仿宋" w:cs="仿宋"/>
          <w:color w:val="000000"/>
          <w:sz w:val="32"/>
          <w:szCs w:val="32"/>
          <w:lang w:eastAsia="zh-CN"/>
        </w:rPr>
        <w:t>小组</w:t>
      </w:r>
      <w:r>
        <w:rPr>
          <w:rFonts w:hint="eastAsia" w:ascii="仿宋" w:hAnsi="仿宋" w:eastAsia="仿宋" w:cs="仿宋"/>
          <w:color w:val="000000"/>
          <w:sz w:val="32"/>
          <w:szCs w:val="32"/>
        </w:rPr>
        <w:t>可根据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情况调整轮次）。如供应商在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过程中存在违法、违纪行为，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将不允许其参加最后报价。</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结束后，</w:t>
      </w:r>
      <w:r>
        <w:rPr>
          <w:rFonts w:hint="eastAsia" w:ascii="仿宋" w:hAnsi="仿宋" w:eastAsia="仿宋" w:cs="仿宋"/>
          <w:color w:val="000000"/>
          <w:sz w:val="32"/>
          <w:szCs w:val="32"/>
          <w:lang w:eastAsia="zh-CN"/>
        </w:rPr>
        <w:t>评审小组要求供应商现场进行</w:t>
      </w:r>
      <w:r>
        <w:rPr>
          <w:rFonts w:hint="eastAsia" w:ascii="仿宋" w:hAnsi="仿宋" w:eastAsia="仿宋" w:cs="仿宋"/>
          <w:sz w:val="32"/>
          <w:szCs w:val="32"/>
        </w:rPr>
        <w:t>最终报价</w:t>
      </w:r>
      <w:r>
        <w:rPr>
          <w:rFonts w:hint="eastAsia" w:ascii="仿宋" w:hAnsi="仿宋" w:eastAsia="仿宋" w:cs="仿宋"/>
          <w:sz w:val="32"/>
          <w:szCs w:val="32"/>
          <w:lang w:eastAsia="zh-CN"/>
        </w:rPr>
        <w:t>填报后</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根据符合采购需求、质量和服务相等且</w:t>
      </w:r>
      <w:r>
        <w:rPr>
          <w:rFonts w:hint="eastAsia" w:ascii="仿宋" w:hAnsi="仿宋" w:eastAsia="仿宋" w:cs="仿宋"/>
          <w:color w:val="FF0000"/>
          <w:sz w:val="32"/>
          <w:szCs w:val="32"/>
          <w:lang w:eastAsia="zh-CN"/>
        </w:rPr>
        <w:t>综合评分最高</w:t>
      </w:r>
      <w:r>
        <w:rPr>
          <w:rFonts w:hint="eastAsia" w:ascii="仿宋" w:hAnsi="仿宋" w:eastAsia="仿宋" w:cs="仿宋"/>
          <w:color w:val="000000"/>
          <w:sz w:val="32"/>
          <w:szCs w:val="32"/>
        </w:rPr>
        <w:t>的原则推荐成交候选供应商，由采购人授权</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确认成交供应商，</w:t>
      </w:r>
      <w:r>
        <w:rPr>
          <w:rFonts w:hint="eastAsia" w:ascii="仿宋" w:hAnsi="仿宋" w:eastAsia="仿宋" w:cs="仿宋"/>
          <w:color w:val="000000"/>
          <w:sz w:val="32"/>
          <w:szCs w:val="32"/>
          <w:lang w:eastAsia="zh-CN"/>
        </w:rPr>
        <w:t>采购办</w:t>
      </w:r>
      <w:r>
        <w:rPr>
          <w:rFonts w:hint="eastAsia" w:ascii="仿宋" w:hAnsi="仿宋" w:eastAsia="仿宋" w:cs="仿宋"/>
          <w:color w:val="000000"/>
          <w:sz w:val="32"/>
          <w:szCs w:val="32"/>
        </w:rPr>
        <w:t>于</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个工作日内在</w:t>
      </w:r>
      <w:r>
        <w:rPr>
          <w:rFonts w:hint="eastAsia" w:ascii="仿宋" w:hAnsi="仿宋" w:eastAsia="仿宋" w:cs="仿宋"/>
          <w:color w:val="000000"/>
          <w:sz w:val="32"/>
          <w:szCs w:val="32"/>
          <w:lang w:eastAsia="zh-CN"/>
        </w:rPr>
        <w:t>乐山市五通桥区人民医院</w:t>
      </w:r>
      <w:r>
        <w:rPr>
          <w:rFonts w:hint="eastAsia" w:ascii="仿宋" w:hAnsi="仿宋" w:eastAsia="仿宋" w:cs="仿宋"/>
          <w:color w:val="000000"/>
          <w:sz w:val="32"/>
          <w:szCs w:val="32"/>
          <w:lang w:val="en-US" w:eastAsia="zh-CN"/>
        </w:rPr>
        <w:t>网</w:t>
      </w:r>
      <w:r>
        <w:rPr>
          <w:rFonts w:hint="eastAsia" w:ascii="仿宋" w:hAnsi="仿宋" w:eastAsia="仿宋" w:cs="仿宋"/>
          <w:color w:val="000000"/>
          <w:sz w:val="32"/>
          <w:szCs w:val="32"/>
        </w:rPr>
        <w:t>上公告成交结果。</w:t>
      </w:r>
    </w:p>
    <w:p w14:paraId="0E2BEE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四、成交标准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按</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最终报价为依据（未组织</w:t>
      </w:r>
      <w:r>
        <w:rPr>
          <w:rFonts w:hint="eastAsia" w:ascii="仿宋" w:hAnsi="仿宋" w:eastAsia="仿宋" w:cs="仿宋"/>
          <w:color w:val="000000"/>
          <w:sz w:val="32"/>
          <w:szCs w:val="32"/>
          <w:lang w:val="en-US" w:eastAsia="zh-CN"/>
        </w:rPr>
        <w:t>二次报价</w:t>
      </w:r>
      <w:r>
        <w:rPr>
          <w:rFonts w:hint="eastAsia" w:ascii="仿宋" w:hAnsi="仿宋" w:eastAsia="仿宋" w:cs="仿宋"/>
          <w:color w:val="000000"/>
          <w:sz w:val="32"/>
          <w:szCs w:val="32"/>
        </w:rPr>
        <w:t>的，以报价响应文件中的报价为依据），体现满足采购项目要求</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且</w:t>
      </w:r>
      <w:r>
        <w:rPr>
          <w:rFonts w:hint="eastAsia" w:ascii="仿宋" w:hAnsi="仿宋" w:eastAsia="仿宋" w:cs="仿宋"/>
          <w:color w:val="FF0000"/>
          <w:sz w:val="32"/>
          <w:szCs w:val="32"/>
          <w:lang w:eastAsia="zh-CN"/>
        </w:rPr>
        <w:t>综合评分最高</w:t>
      </w:r>
      <w:r>
        <w:rPr>
          <w:rFonts w:hint="eastAsia" w:ascii="仿宋" w:hAnsi="仿宋" w:eastAsia="仿宋" w:cs="仿宋"/>
          <w:color w:val="000000"/>
          <w:sz w:val="32"/>
          <w:szCs w:val="32"/>
        </w:rPr>
        <w:t>原则确定成交供应商。</w:t>
      </w:r>
    </w:p>
    <w:p w14:paraId="091173C2">
      <w:pPr>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采用最低评标价法的采购项目，提供相同品牌产品的不同投标人参加同一合同项下投标的，以其中通过资格审查、符合性审查且报价最低的参加评标；报价相同的，由采购人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14:paraId="2BBA66FB">
      <w:pPr>
        <w:ind w:firstLine="640" w:firstLineChars="200"/>
        <w:jc w:val="left"/>
        <w:rPr>
          <w:rFonts w:hint="default" w:eastAsia="仿宋"/>
          <w:lang w:val="en-US" w:eastAsia="zh-CN"/>
        </w:rPr>
      </w:pPr>
      <w:r>
        <w:rPr>
          <w:rFonts w:hint="eastAsia" w:ascii="仿宋" w:hAnsi="仿宋" w:eastAsia="仿宋" w:cs="仿宋"/>
          <w:color w:val="000000"/>
          <w:sz w:val="32"/>
          <w:szCs w:val="32"/>
          <w:lang w:val="en-US" w:eastAsia="zh-CN"/>
        </w:rPr>
        <w:t>采用</w:t>
      </w:r>
      <w:r>
        <w:rPr>
          <w:rFonts w:hint="eastAsia" w:ascii="仿宋" w:hAnsi="仿宋" w:eastAsia="仿宋" w:cs="仿宋"/>
          <w:color w:val="000000"/>
          <w:sz w:val="32"/>
          <w:szCs w:val="32"/>
        </w:rPr>
        <w:t>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ascii="仿宋" w:hAnsi="仿宋" w:eastAsia="仿宋" w:cs="仿宋"/>
          <w:color w:val="000000"/>
          <w:sz w:val="32"/>
          <w:szCs w:val="32"/>
          <w:lang w:val="en-US" w:eastAsia="zh-CN"/>
        </w:rPr>
        <w:t>则价格最低的供应商</w:t>
      </w:r>
      <w:r>
        <w:rPr>
          <w:rFonts w:hint="eastAsia" w:ascii="仿宋" w:hAnsi="仿宋" w:eastAsia="仿宋" w:cs="仿宋"/>
          <w:color w:val="000000"/>
          <w:sz w:val="32"/>
          <w:szCs w:val="32"/>
        </w:rPr>
        <w:t>确定</w:t>
      </w:r>
      <w:r>
        <w:rPr>
          <w:rFonts w:hint="eastAsia" w:ascii="仿宋" w:hAnsi="仿宋" w:eastAsia="仿宋" w:cs="仿宋"/>
          <w:color w:val="000000"/>
          <w:sz w:val="32"/>
          <w:szCs w:val="32"/>
          <w:lang w:val="en-US" w:eastAsia="zh-CN"/>
        </w:rPr>
        <w:t>第一候选人。价格也相同时，</w:t>
      </w:r>
      <w:r>
        <w:rPr>
          <w:rFonts w:hint="eastAsia" w:ascii="仿宋" w:hAnsi="仿宋" w:eastAsia="仿宋" w:cs="仿宋"/>
          <w:color w:val="000000"/>
          <w:sz w:val="32"/>
          <w:szCs w:val="32"/>
        </w:rPr>
        <w:t>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14:paraId="2432D0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sz w:val="32"/>
          <w:szCs w:val="32"/>
          <w:lang w:eastAsia="zh-CN"/>
        </w:rPr>
        <w:t>院内采购评审小组</w:t>
      </w:r>
      <w:r>
        <w:rPr>
          <w:rFonts w:hint="eastAsia" w:ascii="仿宋" w:hAnsi="仿宋" w:eastAsia="仿宋" w:cs="仿宋"/>
          <w:color w:val="000000"/>
          <w:sz w:val="32"/>
          <w:szCs w:val="32"/>
        </w:rPr>
        <w:t>的组建。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依法由三人</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以上单数组成。</w:t>
      </w:r>
    </w:p>
    <w:p w14:paraId="2D517F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低于成本价不正当竞争预防措施</w:t>
      </w:r>
    </w:p>
    <w:p w14:paraId="2B2F65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在评审过程中，供应商报价明显低于其他有效供应商报价，有可能影响产品质量或者不能诚信履约的，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小组应当要求其在</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小时内提供书面说明，并提交相关证明材料，供应商不能证明其报价合理性的，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小组应当将其作为无效处理。</w:t>
      </w:r>
    </w:p>
    <w:p w14:paraId="7FB8D4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14:paraId="74CD86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供应商书面说明应当签字确认或者加盖公章，否则无效。书面说明的签字确认，由其法定代表人/主要负责人/本人或者其授权代表签字确认。</w:t>
      </w:r>
    </w:p>
    <w:p w14:paraId="11FD72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供应商提供书面说明后，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小组应当将其响应文件作为无效处理。</w:t>
      </w:r>
    </w:p>
    <w:p w14:paraId="47EAEE6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工作纪律和注意事项。在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活动中，供应商、</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工作的有关工作人员应严格遵守相关纪律规定，注意以下事项：</w:t>
      </w:r>
    </w:p>
    <w:p w14:paraId="321478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不得泄露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活动在应当保密的情况和资料，不得与供应商串通损害国家利益、社会公共利益或者他人合法权益。</w:t>
      </w:r>
    </w:p>
    <w:p w14:paraId="4AC6F6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供应商不得相互串通报价；不得向</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成员行贿谋取成交；不得以他人名义或者其他方式弄虚作假骗取成交；不得以任何方式干扰、影响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w:t>
      </w:r>
    </w:p>
    <w:p w14:paraId="6389F7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成员不得收受他人财物或者其他好处，不得向他人透露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活动中的各个细节和标准情况。在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活动的进行，不得使用本</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文件规定以外的因素和标准进行评审、比较。</w:t>
      </w:r>
    </w:p>
    <w:p w14:paraId="28ED5D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000000"/>
          <w:sz w:val="24"/>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的工作人员不得收受他人的财物或者其他好处，不得向他人透露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活动中各有关细节及推荐评审情况。在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活动的正常进行。</w:t>
      </w:r>
    </w:p>
    <w:p w14:paraId="015F6023">
      <w:pPr>
        <w:pStyle w:val="7"/>
        <w:ind w:left="0" w:leftChars="0" w:firstLine="0" w:firstLineChars="0"/>
        <w:rPr>
          <w:rFonts w:hint="eastAsia" w:ascii="黑体" w:hAnsi="黑体" w:eastAsia="黑体" w:cs="黑体"/>
          <w:lang w:eastAsia="zh-CN"/>
        </w:rPr>
      </w:pPr>
    </w:p>
    <w:p w14:paraId="313622CD">
      <w:pPr>
        <w:rPr>
          <w:rFonts w:hint="eastAsia" w:ascii="黑体" w:hAnsi="黑体" w:eastAsia="黑体" w:cs="黑体"/>
          <w:lang w:val="en-US" w:eastAsia="zh-CN"/>
        </w:rPr>
      </w:pPr>
    </w:p>
    <w:p w14:paraId="05D22D78">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14:paraId="051E9A29">
      <w:pPr>
        <w:spacing w:line="360" w:lineRule="auto"/>
        <w:jc w:val="left"/>
        <w:rPr>
          <w:rFonts w:hint="eastAsia" w:ascii="黑体" w:hAnsi="黑体" w:eastAsia="黑体" w:cs="黑体"/>
          <w:b/>
          <w:sz w:val="48"/>
          <w:szCs w:val="48"/>
          <w:lang w:val="en-US" w:eastAsia="zh-CN"/>
        </w:rPr>
      </w:pPr>
      <w:r>
        <w:rPr>
          <w:rFonts w:hint="eastAsia" w:ascii="黑体" w:hAnsi="黑体" w:eastAsia="黑体" w:cs="黑体"/>
          <w:b/>
          <w:sz w:val="48"/>
          <w:szCs w:val="48"/>
          <w:lang w:val="en-US" w:eastAsia="zh-CN"/>
        </w:rPr>
        <w:t>（采购封面）</w:t>
      </w:r>
    </w:p>
    <w:p w14:paraId="55C87371">
      <w:pPr>
        <w:spacing w:line="360" w:lineRule="auto"/>
        <w:jc w:val="center"/>
        <w:rPr>
          <w:rFonts w:hint="eastAsia" w:ascii="黑体" w:hAnsi="黑体" w:eastAsia="黑体" w:cs="黑体"/>
          <w:b/>
          <w:sz w:val="48"/>
          <w:szCs w:val="48"/>
          <w:lang w:eastAsia="zh-CN"/>
        </w:rPr>
      </w:pPr>
      <w:r>
        <w:rPr>
          <w:rFonts w:hint="eastAsia" w:ascii="黑体" w:hAnsi="黑体" w:eastAsia="黑体" w:cs="黑体"/>
          <w:b/>
          <w:sz w:val="48"/>
          <w:szCs w:val="48"/>
          <w:lang w:val="en-US" w:eastAsia="zh-CN"/>
        </w:rPr>
        <w:t>乐山市五通桥区人民医院采购项目</w:t>
      </w:r>
    </w:p>
    <w:p w14:paraId="724E6C68">
      <w:pPr>
        <w:spacing w:line="400" w:lineRule="exact"/>
        <w:ind w:firstLine="4897" w:firstLineChars="583"/>
        <w:rPr>
          <w:rFonts w:hint="eastAsia" w:ascii="黑体" w:hAnsi="黑体" w:eastAsia="黑体" w:cs="黑体"/>
          <w:sz w:val="84"/>
          <w:szCs w:val="84"/>
          <w:lang w:eastAsia="zh-CN"/>
        </w:rPr>
      </w:pPr>
    </w:p>
    <w:p w14:paraId="5E7EE96D">
      <w:pPr>
        <w:pStyle w:val="5"/>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院内询价、采购、谈判、遴选文件</w:t>
      </w:r>
    </w:p>
    <w:p w14:paraId="6FE91240">
      <w:pPr>
        <w:rPr>
          <w:rFonts w:hint="eastAsia" w:ascii="黑体" w:hAnsi="黑体" w:eastAsia="黑体" w:cs="黑体"/>
          <w:sz w:val="84"/>
          <w:szCs w:val="84"/>
          <w:lang w:val="en-US" w:eastAsia="zh-CN"/>
        </w:rPr>
      </w:pPr>
    </w:p>
    <w:p w14:paraId="65B839F2">
      <w:pPr>
        <w:pStyle w:val="5"/>
        <w:rPr>
          <w:rFonts w:hint="eastAsia" w:ascii="黑体" w:hAnsi="黑体" w:eastAsia="黑体" w:cs="黑体"/>
          <w:lang w:val="en-US" w:eastAsia="zh-CN"/>
        </w:rPr>
      </w:pPr>
    </w:p>
    <w:p w14:paraId="24147955">
      <w:pPr>
        <w:spacing w:line="400" w:lineRule="exact"/>
        <w:ind w:firstLine="4897" w:firstLineChars="583"/>
        <w:rPr>
          <w:rFonts w:hint="eastAsia" w:ascii="黑体" w:hAnsi="黑体" w:eastAsia="黑体" w:cs="黑体"/>
          <w:sz w:val="84"/>
          <w:szCs w:val="84"/>
        </w:rPr>
      </w:pPr>
    </w:p>
    <w:p w14:paraId="03B0BC2C">
      <w:pPr>
        <w:spacing w:line="400" w:lineRule="exact"/>
        <w:ind w:firstLine="4897" w:firstLineChars="583"/>
        <w:rPr>
          <w:rFonts w:hint="eastAsia" w:ascii="黑体" w:hAnsi="黑体" w:eastAsia="黑体" w:cs="黑体"/>
          <w:sz w:val="84"/>
          <w:szCs w:val="84"/>
        </w:rPr>
      </w:pPr>
    </w:p>
    <w:p w14:paraId="44CCBE24">
      <w:pPr>
        <w:spacing w:line="400" w:lineRule="exact"/>
        <w:rPr>
          <w:rFonts w:hint="eastAsia" w:ascii="黑体" w:hAnsi="黑体" w:eastAsia="黑体" w:cs="黑体"/>
          <w:b/>
          <w:bCs/>
          <w:sz w:val="30"/>
          <w:szCs w:val="30"/>
        </w:rPr>
      </w:pPr>
    </w:p>
    <w:p w14:paraId="203C3763">
      <w:pPr>
        <w:widowControl w:val="0"/>
        <w:adjustRightInd/>
        <w:spacing w:line="360" w:lineRule="auto"/>
        <w:rPr>
          <w:rFonts w:hint="eastAsia" w:ascii="黑体" w:hAnsi="黑体" w:eastAsia="黑体" w:cs="黑体"/>
          <w:b/>
          <w:sz w:val="32"/>
          <w:szCs w:val="32"/>
          <w:u w:val="single"/>
        </w:rPr>
      </w:pPr>
      <w:r>
        <w:rPr>
          <w:rFonts w:hint="eastAsia" w:ascii="黑体" w:hAnsi="黑体" w:eastAsia="黑体" w:cs="黑体"/>
          <w:b/>
          <w:bCs/>
          <w:sz w:val="32"/>
          <w:szCs w:val="32"/>
        </w:rPr>
        <w:t>项目名称：</w:t>
      </w:r>
      <w:r>
        <w:rPr>
          <w:rFonts w:hint="eastAsia" w:ascii="黑体" w:hAnsi="黑体" w:eastAsia="黑体" w:cs="黑体"/>
          <w:b/>
          <w:sz w:val="32"/>
          <w:szCs w:val="32"/>
          <w:u w:val="single"/>
        </w:rPr>
        <w:t xml:space="preserve">                               </w:t>
      </w:r>
    </w:p>
    <w:p w14:paraId="6D849B8D">
      <w:pPr>
        <w:widowControl w:val="0"/>
        <w:adjustRightInd/>
        <w:spacing w:line="360" w:lineRule="auto"/>
        <w:rPr>
          <w:rFonts w:hint="default" w:ascii="黑体" w:hAnsi="黑体" w:eastAsia="黑体" w:cs="黑体"/>
          <w:b/>
          <w:sz w:val="32"/>
          <w:szCs w:val="32"/>
          <w:u w:val="single"/>
          <w:lang w:val="en-US" w:eastAsia="zh-CN"/>
        </w:rPr>
      </w:pPr>
      <w:r>
        <w:rPr>
          <w:rFonts w:hint="eastAsia" w:ascii="黑体" w:hAnsi="黑体" w:eastAsia="黑体" w:cs="黑体"/>
          <w:b/>
          <w:bCs/>
          <w:sz w:val="32"/>
          <w:szCs w:val="32"/>
          <w:lang w:val="en-US" w:eastAsia="zh-CN"/>
        </w:rPr>
        <w:t>项目编号：</w:t>
      </w:r>
      <w:r>
        <w:rPr>
          <w:rFonts w:hint="eastAsia" w:ascii="黑体" w:hAnsi="黑体" w:eastAsia="黑体" w:cs="黑体"/>
          <w:b/>
          <w:sz w:val="32"/>
          <w:szCs w:val="32"/>
          <w:u w:val="single"/>
          <w:lang w:val="en-US" w:eastAsia="zh-CN"/>
        </w:rPr>
        <w:t xml:space="preserve">                            </w:t>
      </w:r>
    </w:p>
    <w:p w14:paraId="45786B23">
      <w:pPr>
        <w:widowControl w:val="0"/>
        <w:adjustRightInd/>
        <w:spacing w:line="360" w:lineRule="auto"/>
        <w:rPr>
          <w:rFonts w:hint="eastAsia" w:ascii="黑体" w:hAnsi="黑体" w:eastAsia="黑体" w:cs="黑体"/>
          <w:b/>
          <w:bCs/>
          <w:sz w:val="32"/>
          <w:szCs w:val="32"/>
          <w:u w:val="single"/>
        </w:rPr>
      </w:pPr>
      <w:r>
        <w:rPr>
          <w:rFonts w:hint="eastAsia" w:ascii="黑体" w:hAnsi="黑体" w:eastAsia="黑体" w:cs="黑体"/>
          <w:b/>
          <w:bCs/>
          <w:sz w:val="32"/>
          <w:szCs w:val="32"/>
          <w:lang w:eastAsia="zh-CN"/>
        </w:rPr>
        <w:t>供应</w:t>
      </w:r>
      <w:r>
        <w:rPr>
          <w:rFonts w:hint="eastAsia" w:ascii="黑体" w:hAnsi="黑体" w:eastAsia="黑体" w:cs="黑体"/>
          <w:b/>
          <w:bCs/>
          <w:sz w:val="32"/>
          <w:szCs w:val="32"/>
        </w:rPr>
        <w:t>商名称</w:t>
      </w:r>
      <w:r>
        <w:rPr>
          <w:rFonts w:hint="eastAsia" w:ascii="黑体" w:hAnsi="黑体" w:eastAsia="黑体" w:cs="黑体"/>
          <w:b/>
          <w:sz w:val="32"/>
          <w:szCs w:val="32"/>
        </w:rPr>
        <w:t xml:space="preserve">： </w:t>
      </w:r>
      <w:r>
        <w:rPr>
          <w:rFonts w:hint="eastAsia" w:ascii="黑体" w:hAnsi="黑体" w:eastAsia="黑体" w:cs="黑体"/>
          <w:sz w:val="32"/>
          <w:szCs w:val="32"/>
          <w:u w:val="single"/>
        </w:rPr>
        <w:t xml:space="preserve">                     </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u w:val="single"/>
        </w:rPr>
        <w:t xml:space="preserve">  </w:t>
      </w:r>
      <w:r>
        <w:rPr>
          <w:rFonts w:hint="eastAsia" w:ascii="黑体" w:hAnsi="黑体" w:eastAsia="黑体" w:cs="黑体"/>
          <w:b/>
          <w:bCs/>
          <w:sz w:val="32"/>
          <w:szCs w:val="32"/>
        </w:rPr>
        <w:t>（盖章）</w:t>
      </w:r>
    </w:p>
    <w:p w14:paraId="00278458">
      <w:pPr>
        <w:widowControl w:val="0"/>
        <w:adjustRightInd/>
        <w:spacing w:line="360" w:lineRule="auto"/>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联系人及电话：________________________</w:t>
      </w:r>
    </w:p>
    <w:p w14:paraId="11F2C204">
      <w:pPr>
        <w:widowControl w:val="0"/>
        <w:adjustRightInd/>
        <w:spacing w:line="360" w:lineRule="auto"/>
        <w:ind w:firstLine="315" w:firstLineChars="98"/>
        <w:rPr>
          <w:rFonts w:hint="eastAsia" w:ascii="黑体" w:hAnsi="黑体" w:eastAsia="黑体" w:cs="黑体"/>
          <w:b/>
          <w:bCs/>
          <w:sz w:val="32"/>
          <w:szCs w:val="32"/>
        </w:rPr>
      </w:pPr>
    </w:p>
    <w:p w14:paraId="12B15D86">
      <w:pPr>
        <w:widowControl w:val="0"/>
        <w:adjustRightInd/>
        <w:spacing w:line="360" w:lineRule="auto"/>
        <w:ind w:firstLine="3040" w:firstLineChars="950"/>
        <w:rPr>
          <w:rFonts w:hint="eastAsia" w:ascii="黑体" w:hAnsi="黑体" w:eastAsia="黑体" w:cs="黑体"/>
          <w:sz w:val="32"/>
          <w:szCs w:val="32"/>
        </w:rPr>
      </w:pPr>
      <w:r>
        <w:rPr>
          <w:rFonts w:hint="eastAsia" w:ascii="黑体" w:hAnsi="黑体" w:eastAsia="黑体" w:cs="黑体"/>
          <w:sz w:val="32"/>
          <w:szCs w:val="32"/>
          <w:u w:val="single"/>
        </w:rPr>
        <w:t xml:space="preserve">    </w:t>
      </w:r>
      <w:r>
        <w:rPr>
          <w:rFonts w:hint="eastAsia" w:ascii="黑体" w:hAnsi="黑体" w:eastAsia="黑体" w:cs="黑体"/>
          <w:sz w:val="32"/>
          <w:szCs w:val="32"/>
        </w:rPr>
        <w:t>年</w:t>
      </w:r>
      <w:r>
        <w:rPr>
          <w:rFonts w:hint="eastAsia" w:ascii="黑体" w:hAnsi="黑体" w:eastAsia="黑体" w:cs="黑体"/>
          <w:sz w:val="32"/>
          <w:szCs w:val="32"/>
          <w:u w:val="single"/>
        </w:rPr>
        <w:t xml:space="preserve">   </w:t>
      </w:r>
      <w:r>
        <w:rPr>
          <w:rFonts w:hint="eastAsia" w:ascii="黑体" w:hAnsi="黑体" w:eastAsia="黑体" w:cs="黑体"/>
          <w:sz w:val="32"/>
          <w:szCs w:val="32"/>
        </w:rPr>
        <w:t>月</w:t>
      </w:r>
      <w:r>
        <w:rPr>
          <w:rFonts w:hint="eastAsia" w:ascii="黑体" w:hAnsi="黑体" w:eastAsia="黑体" w:cs="黑体"/>
          <w:sz w:val="32"/>
          <w:szCs w:val="32"/>
          <w:u w:val="single"/>
        </w:rPr>
        <w:t xml:space="preserve">   </w:t>
      </w:r>
      <w:r>
        <w:rPr>
          <w:rFonts w:hint="eastAsia" w:ascii="黑体" w:hAnsi="黑体" w:eastAsia="黑体" w:cs="黑体"/>
          <w:sz w:val="32"/>
          <w:szCs w:val="32"/>
        </w:rPr>
        <w:t>日</w:t>
      </w:r>
    </w:p>
    <w:p w14:paraId="0888E0B2">
      <w:pPr>
        <w:rPr>
          <w:rFonts w:hint="eastAsia" w:ascii="黑体" w:hAnsi="黑体" w:eastAsia="黑体" w:cs="黑体"/>
          <w:b/>
          <w:bCs/>
          <w:sz w:val="32"/>
          <w:szCs w:val="32"/>
        </w:rPr>
      </w:pPr>
      <w:bookmarkStart w:id="0" w:name="_Toc18458"/>
      <w:bookmarkStart w:id="1" w:name="_Toc5773"/>
      <w:bookmarkStart w:id="2" w:name="_Toc25737"/>
      <w:bookmarkStart w:id="3" w:name="_Toc9490"/>
      <w:r>
        <w:rPr>
          <w:rFonts w:hint="eastAsia" w:ascii="黑体" w:hAnsi="黑体" w:eastAsia="黑体" w:cs="黑体"/>
          <w:b/>
          <w:bCs/>
          <w:sz w:val="32"/>
          <w:szCs w:val="32"/>
        </w:rPr>
        <w:br w:type="page"/>
      </w:r>
    </w:p>
    <w:bookmarkEnd w:id="0"/>
    <w:bookmarkEnd w:id="1"/>
    <w:bookmarkEnd w:id="2"/>
    <w:bookmarkEnd w:id="3"/>
    <w:p w14:paraId="32BAF489">
      <w:pPr>
        <w:spacing w:line="240" w:lineRule="auto"/>
        <w:jc w:val="center"/>
        <w:rPr>
          <w:rFonts w:hint="eastAsia" w:ascii="黑体" w:hAnsi="黑体" w:eastAsia="黑体" w:cs="黑体"/>
          <w:color w:val="000000"/>
          <w:spacing w:val="2"/>
          <w:sz w:val="40"/>
          <w:szCs w:val="40"/>
        </w:rPr>
      </w:pPr>
      <w:bookmarkStart w:id="4" w:name="_Toc12449"/>
      <w:bookmarkStart w:id="5" w:name="_Toc17549"/>
      <w:bookmarkStart w:id="6" w:name="_Toc4003"/>
      <w:bookmarkStart w:id="7" w:name="_Toc439699516"/>
      <w:r>
        <w:rPr>
          <w:rFonts w:hint="eastAsia" w:ascii="黑体" w:hAnsi="黑体" w:eastAsia="黑体" w:cs="黑体"/>
          <w:color w:val="000000"/>
          <w:spacing w:val="2"/>
          <w:sz w:val="40"/>
          <w:szCs w:val="40"/>
        </w:rPr>
        <w:t>承诺函</w:t>
      </w:r>
    </w:p>
    <w:p w14:paraId="65A6C026">
      <w:pPr>
        <w:pStyle w:val="5"/>
        <w:rPr>
          <w:rFonts w:hint="eastAsia" w:ascii="黑体" w:hAnsi="黑体" w:eastAsia="黑体" w:cs="黑体"/>
          <w:sz w:val="28"/>
          <w:szCs w:val="28"/>
        </w:rPr>
      </w:pPr>
    </w:p>
    <w:p w14:paraId="35A996CF">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rPr>
        <w:t>乐山市</w:t>
      </w:r>
      <w:r>
        <w:rPr>
          <w:rFonts w:hint="eastAsia" w:ascii="仿宋" w:hAnsi="仿宋" w:eastAsia="仿宋" w:cs="仿宋"/>
          <w:color w:val="000000"/>
          <w:spacing w:val="2"/>
          <w:sz w:val="32"/>
          <w:szCs w:val="32"/>
          <w:lang w:eastAsia="zh-CN"/>
        </w:rPr>
        <w:t>五通桥区人民医院</w:t>
      </w:r>
    </w:p>
    <w:p w14:paraId="621E6775">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文件要求，现郑重承诺如下：</w:t>
      </w:r>
    </w:p>
    <w:p w14:paraId="49427B7B">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14:paraId="58087352">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1.</w:t>
      </w:r>
      <w:r>
        <w:rPr>
          <w:rFonts w:hint="eastAsia" w:ascii="仿宋" w:hAnsi="仿宋" w:eastAsia="仿宋" w:cs="仿宋"/>
          <w:color w:val="000000"/>
          <w:spacing w:val="2"/>
          <w:sz w:val="32"/>
          <w:szCs w:val="32"/>
        </w:rPr>
        <w:t>具有独立承担民事责任的能力；</w:t>
      </w:r>
    </w:p>
    <w:p w14:paraId="45CA6DF1">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具有良好的商业信誉和健全的财务会计制度；</w:t>
      </w:r>
    </w:p>
    <w:p w14:paraId="57F8FB37">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具有履行合同所必须的设备和专业技术能力；</w:t>
      </w:r>
    </w:p>
    <w:p w14:paraId="442E8C9D">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具有依法缴纳税收和社会保障资金的良好记录；</w:t>
      </w:r>
    </w:p>
    <w:p w14:paraId="16F002D8">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5.</w:t>
      </w:r>
      <w:r>
        <w:rPr>
          <w:rFonts w:hint="eastAsia" w:ascii="仿宋" w:hAnsi="仿宋" w:eastAsia="仿宋" w:cs="仿宋"/>
          <w:color w:val="000000"/>
          <w:spacing w:val="2"/>
          <w:sz w:val="32"/>
          <w:szCs w:val="32"/>
        </w:rPr>
        <w:t>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活动前三年内，在经营活动中没有重大违法记录；</w:t>
      </w:r>
    </w:p>
    <w:p w14:paraId="6141C7F2">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6.</w:t>
      </w:r>
      <w:r>
        <w:rPr>
          <w:rFonts w:hint="eastAsia" w:ascii="仿宋" w:hAnsi="仿宋" w:eastAsia="仿宋" w:cs="仿宋"/>
          <w:color w:val="000000"/>
          <w:spacing w:val="2"/>
          <w:sz w:val="32"/>
          <w:szCs w:val="32"/>
        </w:rPr>
        <w:t>法律、行政法规规定的其他条件；</w:t>
      </w:r>
    </w:p>
    <w:p w14:paraId="6808C171">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文件中规定的要求，如对供应商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文件有异议，已经在供应商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截止时间届满前依法进行维权，不存在对供应商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文件有异议的同时又参加</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活动以求侥幸成交或者为实现其他非法目的的行为。</w:t>
      </w:r>
    </w:p>
    <w:p w14:paraId="68046A62">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文件中规定的要求，并通过我方的响应文件对供应商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文件的规定要求做出了全面的积极响应，如因我方提供的响应没有完全达到或符合本项目供应商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文件的规定要求，评审小组、本项目采购人等单位或组织按国家法律法规及供应商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文件的规定要求做出的认定、处置行为，我方完全同意。</w:t>
      </w:r>
    </w:p>
    <w:p w14:paraId="748248BC">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文件中规定并赋予本项目采购人“自主采取公平、择优的方式选择”的权利，对本项目采购人选择的结果完全认同并无异议。</w:t>
      </w:r>
    </w:p>
    <w:p w14:paraId="2477C9B4">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活动的行为。</w:t>
      </w:r>
    </w:p>
    <w:p w14:paraId="30D16A36">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活动，不存在和其他供应商在同一合同项下的供应商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项目中，同时委托同一个自然人、同一家庭的人员、同一单位的人员作为代理人的行为。</w:t>
      </w:r>
    </w:p>
    <w:p w14:paraId="5722C865">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eastAsia="zh-CN"/>
        </w:rPr>
        <w:t>七</w:t>
      </w:r>
      <w:r>
        <w:rPr>
          <w:rFonts w:hint="eastAsia" w:ascii="仿宋" w:hAnsi="仿宋" w:eastAsia="仿宋" w:cs="仿宋"/>
          <w:color w:val="000000"/>
          <w:spacing w:val="2"/>
          <w:sz w:val="32"/>
          <w:szCs w:val="32"/>
        </w:rPr>
        <w:t>、供应商响应文件中提供的技术、服务、商务等响应承诺情况都是真实的、有效的、合法的。</w:t>
      </w:r>
    </w:p>
    <w:p w14:paraId="1665E5C6">
      <w:pPr>
        <w:pStyle w:val="5"/>
        <w:spacing w:line="240" w:lineRule="auto"/>
        <w:rPr>
          <w:rFonts w:hint="eastAsia" w:ascii="仿宋" w:hAnsi="仿宋" w:eastAsia="仿宋" w:cs="仿宋"/>
          <w:sz w:val="32"/>
          <w:szCs w:val="32"/>
          <w:lang w:val="en-US" w:eastAsia="zh-CN"/>
        </w:rPr>
      </w:pPr>
      <w:r>
        <w:rPr>
          <w:rFonts w:hint="eastAsia" w:ascii="仿宋" w:hAnsi="仿宋" w:eastAsia="仿宋" w:cs="仿宋"/>
          <w:color w:val="000000"/>
          <w:spacing w:val="2"/>
          <w:sz w:val="32"/>
          <w:szCs w:val="32"/>
          <w:lang w:val="en-US" w:eastAsia="zh-CN"/>
        </w:rPr>
        <w:t xml:space="preserve">    八、</w:t>
      </w:r>
      <w:r>
        <w:rPr>
          <w:rFonts w:hint="eastAsia" w:ascii="仿宋" w:hAnsi="仿宋" w:eastAsia="仿宋" w:cs="仿宋"/>
          <w:color w:val="000000"/>
          <w:spacing w:val="2"/>
          <w:kern w:val="2"/>
          <w:sz w:val="32"/>
          <w:szCs w:val="32"/>
          <w:lang w:val="en-US" w:eastAsia="zh-CN" w:bidi="ar-SA"/>
        </w:rPr>
        <w:t>如本项目采购过程中需要提供样品，则我公司提供的样品即为成交后将要提供的成交产品，我公司对提供样品的性能和质量负责，因样品存在缺陷或者不符合谈判文件要求导致未能成交的，我公司愿意承担相应不利后果。</w:t>
      </w:r>
    </w:p>
    <w:p w14:paraId="35C9A6E5">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14:paraId="026D5F56">
      <w:pPr>
        <w:pStyle w:val="29"/>
        <w:rPr>
          <w:rFonts w:hint="eastAsia" w:ascii="仿宋" w:hAnsi="仿宋" w:eastAsia="仿宋" w:cs="仿宋"/>
          <w:sz w:val="32"/>
          <w:szCs w:val="32"/>
        </w:rPr>
      </w:pPr>
    </w:p>
    <w:p w14:paraId="77BBA41A">
      <w:pPr>
        <w:rPr>
          <w:rFonts w:hint="eastAsia"/>
        </w:rPr>
      </w:pPr>
    </w:p>
    <w:p w14:paraId="37D7581A">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14:paraId="767C6A0F">
      <w:pPr>
        <w:snapToGrid w:val="0"/>
        <w:spacing w:line="360" w:lineRule="auto"/>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14:paraId="1B06D298">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w:t>
      </w:r>
      <w:r>
        <w:rPr>
          <w:rFonts w:hint="eastAsia" w:ascii="仿宋" w:hAnsi="仿宋" w:eastAsia="仿宋" w:cs="仿宋"/>
          <w:color w:val="auto"/>
          <w:kern w:val="2"/>
          <w:sz w:val="32"/>
          <w:szCs w:val="32"/>
        </w:rPr>
        <w:t>202</w:t>
      </w:r>
      <w:r>
        <w:rPr>
          <w:rFonts w:hint="eastAsia" w:ascii="仿宋" w:hAnsi="仿宋" w:eastAsia="仿宋" w:cs="仿宋"/>
          <w:color w:val="auto"/>
          <w:kern w:val="2"/>
          <w:sz w:val="32"/>
          <w:szCs w:val="32"/>
          <w:lang w:val="en-US" w:eastAsia="zh-CN"/>
        </w:rPr>
        <w:t>5</w:t>
      </w:r>
      <w:r>
        <w:rPr>
          <w:rFonts w:hint="eastAsia" w:ascii="仿宋" w:hAnsi="仿宋" w:eastAsia="仿宋" w:cs="仿宋"/>
          <w:color w:val="auto"/>
          <w:kern w:val="2"/>
          <w:sz w:val="32"/>
          <w:szCs w:val="32"/>
        </w:rPr>
        <w:t>年  月  日</w:t>
      </w:r>
    </w:p>
    <w:p w14:paraId="13B5865A">
      <w:pPr>
        <w:pStyle w:val="5"/>
        <w:adjustRightInd w:val="0"/>
        <w:snapToGrid w:val="0"/>
        <w:spacing w:after="0" w:line="360" w:lineRule="auto"/>
        <w:ind w:firstLine="560" w:firstLineChars="200"/>
        <w:rPr>
          <w:rFonts w:hint="eastAsia" w:ascii="黑体" w:hAnsi="黑体" w:eastAsia="黑体" w:cs="黑体"/>
          <w:sz w:val="28"/>
          <w:szCs w:val="28"/>
          <w:lang w:eastAsia="zh-CN"/>
        </w:rPr>
      </w:pPr>
    </w:p>
    <w:p w14:paraId="7089335C">
      <w:pPr>
        <w:pStyle w:val="5"/>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14:paraId="1BBDA091">
      <w:pPr>
        <w:spacing w:beforeLines="100" w:afterLines="200" w:line="320" w:lineRule="exact"/>
        <w:jc w:val="center"/>
        <w:rPr>
          <w:rFonts w:hint="eastAsia" w:ascii="黑体" w:hAnsi="黑体" w:eastAsia="黑体" w:cs="黑体"/>
          <w:color w:val="auto"/>
          <w:sz w:val="40"/>
          <w:szCs w:val="40"/>
        </w:rPr>
      </w:pPr>
      <w:bookmarkStart w:id="8" w:name="_Toc439699522"/>
      <w:bookmarkStart w:id="9" w:name="_Toc16184"/>
      <w:bookmarkStart w:id="10" w:name="_Toc12426"/>
      <w:bookmarkStart w:id="11" w:name="_Toc1800"/>
      <w:bookmarkStart w:id="12" w:name="_Toc199"/>
      <w:bookmarkStart w:id="13" w:name="_Toc24199"/>
      <w:bookmarkStart w:id="14" w:name="_Toc1287"/>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14:paraId="148A8028">
      <w:pPr>
        <w:pStyle w:val="27"/>
        <w:spacing w:line="240" w:lineRule="auto"/>
        <w:ind w:left="0" w:leftChars="0" w:firstLine="0" w:firstLineChars="0"/>
        <w:rPr>
          <w:rFonts w:hint="eastAsia" w:ascii="仿宋" w:hAnsi="仿宋" w:eastAsia="仿宋" w:cs="仿宋"/>
          <w:color w:val="auto"/>
          <w:sz w:val="32"/>
          <w:szCs w:val="32"/>
        </w:rPr>
      </w:pPr>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14:paraId="18987C15">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14:paraId="1D5853E6">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14:paraId="24F45CC4">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14:paraId="5B254DDC">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14:paraId="4487798B">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14:paraId="0C1B6CE3">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14:paraId="6CE62E76">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14:paraId="27BDA445">
      <w:pPr>
        <w:pStyle w:val="27"/>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14:paraId="4D3C4AEC">
      <w:pPr>
        <w:pStyle w:val="27"/>
        <w:spacing w:line="240" w:lineRule="auto"/>
        <w:ind w:firstLine="0"/>
        <w:rPr>
          <w:rFonts w:hint="eastAsia" w:ascii="仿宋" w:hAnsi="仿宋" w:eastAsia="仿宋" w:cs="仿宋"/>
          <w:color w:val="auto"/>
          <w:sz w:val="32"/>
          <w:szCs w:val="32"/>
        </w:rPr>
      </w:pPr>
    </w:p>
    <w:p w14:paraId="6DB0E3BA">
      <w:pPr>
        <w:pStyle w:val="27"/>
        <w:spacing w:line="240" w:lineRule="auto"/>
        <w:ind w:firstLine="0"/>
        <w:rPr>
          <w:rFonts w:hint="eastAsia" w:ascii="仿宋" w:hAnsi="仿宋" w:eastAsia="仿宋" w:cs="仿宋"/>
          <w:color w:val="auto"/>
          <w:sz w:val="32"/>
          <w:szCs w:val="32"/>
        </w:rPr>
      </w:pPr>
    </w:p>
    <w:p w14:paraId="3C1F2431">
      <w:pPr>
        <w:autoSpaceDN w:val="0"/>
        <w:spacing w:line="240" w:lineRule="auto"/>
        <w:ind w:firstLine="640" w:firstLineChars="200"/>
        <w:jc w:val="righ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auto"/>
          <w:kern w:val="2"/>
          <w:sz w:val="32"/>
          <w:szCs w:val="32"/>
          <w:lang w:val="en-US" w:eastAsia="zh-CN"/>
        </w:rPr>
        <w:t>5</w:t>
      </w:r>
      <w:r>
        <w:rPr>
          <w:rFonts w:hint="eastAsia" w:ascii="仿宋" w:hAnsi="仿宋" w:eastAsia="仿宋" w:cs="仿宋"/>
          <w:color w:val="auto"/>
          <w:kern w:val="2"/>
          <w:sz w:val="32"/>
          <w:szCs w:val="32"/>
        </w:rPr>
        <w:t>年  月  日</w:t>
      </w:r>
      <w:bookmarkEnd w:id="15"/>
    </w:p>
    <w:p w14:paraId="6936C640">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14:paraId="2D85221F">
      <w:pPr>
        <w:numPr>
          <w:ilvl w:val="0"/>
          <w:numId w:val="2"/>
        </w:numPr>
        <w:jc w:val="center"/>
        <w:rPr>
          <w:rFonts w:hint="eastAsia" w:ascii="黑体" w:hAnsi="黑体" w:eastAsia="黑体" w:cs="黑体"/>
          <w:b/>
          <w:sz w:val="36"/>
          <w:szCs w:val="36"/>
          <w:lang w:val="en-US" w:eastAsia="zh-CN"/>
        </w:rPr>
      </w:pPr>
      <w:r>
        <w:rPr>
          <w:rFonts w:hint="eastAsia" w:ascii="黑体" w:hAnsi="黑体" w:eastAsia="黑体" w:cs="黑体"/>
          <w:b/>
          <w:sz w:val="36"/>
          <w:szCs w:val="36"/>
          <w:lang w:val="en-US" w:eastAsia="zh-CN"/>
        </w:rPr>
        <w:t>采购资质要求</w:t>
      </w:r>
    </w:p>
    <w:p w14:paraId="533A034D">
      <w:pPr>
        <w:pStyle w:val="5"/>
        <w:rPr>
          <w:rFonts w:hint="eastAsia" w:ascii="黑体" w:hAnsi="黑体" w:eastAsia="黑体" w:cs="黑体"/>
          <w:b/>
          <w:sz w:val="36"/>
          <w:szCs w:val="36"/>
          <w:lang w:val="en-US" w:eastAsia="zh-CN"/>
        </w:rPr>
      </w:pPr>
    </w:p>
    <w:p w14:paraId="7F675663">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7"/>
        <w:tblpPr w:leftFromText="180" w:rightFromText="180" w:vertAnchor="text" w:horzAnchor="page" w:tblpX="1286" w:tblpY="371"/>
        <w:tblOverlap w:val="never"/>
        <w:tblW w:w="46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5811"/>
        <w:gridCol w:w="912"/>
        <w:gridCol w:w="1497"/>
      </w:tblGrid>
      <w:tr w14:paraId="4759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391" w:type="pct"/>
            <w:noWrap w:val="0"/>
            <w:vAlign w:val="center"/>
          </w:tcPr>
          <w:p w14:paraId="54D35842">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3257" w:type="pct"/>
            <w:noWrap w:val="0"/>
            <w:vAlign w:val="center"/>
          </w:tcPr>
          <w:p w14:paraId="5E0C6461">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511" w:type="pct"/>
            <w:noWrap w:val="0"/>
            <w:vAlign w:val="center"/>
          </w:tcPr>
          <w:p w14:paraId="7E34BE7B">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839" w:type="pct"/>
            <w:noWrap w:val="0"/>
            <w:vAlign w:val="center"/>
          </w:tcPr>
          <w:p w14:paraId="65C7415F">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14:paraId="54ED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391" w:type="pct"/>
            <w:noWrap w:val="0"/>
            <w:vAlign w:val="center"/>
          </w:tcPr>
          <w:p w14:paraId="73454290">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3257" w:type="pct"/>
            <w:noWrap w:val="0"/>
            <w:vAlign w:val="center"/>
          </w:tcPr>
          <w:p w14:paraId="2077600F">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 xml:space="preserve">三证（营业执照、税务登记证、组织机构代码证）副本；三证合一的只须提供营业执照副本；事业单位、社会团体提供法人登记证书复印件 </w:t>
            </w:r>
          </w:p>
        </w:tc>
        <w:tc>
          <w:tcPr>
            <w:tcW w:w="511" w:type="pct"/>
            <w:noWrap w:val="0"/>
            <w:vAlign w:val="center"/>
          </w:tcPr>
          <w:p w14:paraId="5C997477">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39" w:type="pct"/>
            <w:noWrap w:val="0"/>
            <w:vAlign w:val="center"/>
          </w:tcPr>
          <w:p w14:paraId="03C1F4A4">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14:paraId="5156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391" w:type="pct"/>
            <w:noWrap w:val="0"/>
            <w:vAlign w:val="center"/>
          </w:tcPr>
          <w:p w14:paraId="1D80CC96">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3257" w:type="pct"/>
            <w:noWrap w:val="0"/>
            <w:vAlign w:val="center"/>
          </w:tcPr>
          <w:p w14:paraId="57E28AED">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提供承诺，购销廉洁、诚信承诺书</w:t>
            </w:r>
          </w:p>
        </w:tc>
        <w:tc>
          <w:tcPr>
            <w:tcW w:w="511" w:type="pct"/>
            <w:noWrap w:val="0"/>
            <w:vAlign w:val="center"/>
          </w:tcPr>
          <w:p w14:paraId="286C2793">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39" w:type="pct"/>
            <w:noWrap w:val="0"/>
            <w:vAlign w:val="center"/>
          </w:tcPr>
          <w:p w14:paraId="42C73788">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14:paraId="052F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391" w:type="pct"/>
            <w:noWrap w:val="0"/>
            <w:vAlign w:val="center"/>
          </w:tcPr>
          <w:p w14:paraId="5CFA2ADF">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3</w:t>
            </w:r>
          </w:p>
        </w:tc>
        <w:tc>
          <w:tcPr>
            <w:tcW w:w="3257" w:type="pct"/>
            <w:shd w:val="clear" w:color="auto" w:fill="auto"/>
            <w:noWrap w:val="0"/>
            <w:vAlign w:val="center"/>
          </w:tcPr>
          <w:p w14:paraId="0A250988">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511" w:type="pct"/>
            <w:shd w:val="clear" w:color="auto" w:fill="auto"/>
            <w:noWrap w:val="0"/>
            <w:vAlign w:val="center"/>
          </w:tcPr>
          <w:p w14:paraId="1D9CB619">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有效</w:t>
            </w:r>
          </w:p>
        </w:tc>
        <w:tc>
          <w:tcPr>
            <w:tcW w:w="839" w:type="pct"/>
            <w:shd w:val="clear" w:color="auto" w:fill="auto"/>
            <w:noWrap w:val="0"/>
            <w:vAlign w:val="center"/>
          </w:tcPr>
          <w:p w14:paraId="39107788">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盖章</w:t>
            </w:r>
          </w:p>
        </w:tc>
      </w:tr>
      <w:tr w14:paraId="3A1B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91" w:type="pct"/>
            <w:noWrap w:val="0"/>
            <w:vAlign w:val="center"/>
          </w:tcPr>
          <w:p w14:paraId="2111DE38">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4</w:t>
            </w:r>
          </w:p>
        </w:tc>
        <w:tc>
          <w:tcPr>
            <w:tcW w:w="3257" w:type="pct"/>
            <w:noWrap w:val="0"/>
            <w:vAlign w:val="center"/>
          </w:tcPr>
          <w:p w14:paraId="1868FD0C">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具备有效期内的《旅行社业务经营许可证》（许可经营业务范围须包含国内旅游业务）</w:t>
            </w:r>
          </w:p>
        </w:tc>
        <w:tc>
          <w:tcPr>
            <w:tcW w:w="511" w:type="pct"/>
            <w:noWrap w:val="0"/>
            <w:vAlign w:val="center"/>
          </w:tcPr>
          <w:p w14:paraId="72980604">
            <w:pPr>
              <w:snapToGrid w:val="0"/>
              <w:spacing w:line="240" w:lineRule="auto"/>
              <w:contextualSpacing/>
              <w:rPr>
                <w:rFonts w:hint="eastAsia" w:ascii="仿宋" w:hAnsi="仿宋" w:eastAsia="仿宋" w:cs="仿宋"/>
                <w:color w:val="000000"/>
                <w:spacing w:val="2"/>
                <w:sz w:val="32"/>
                <w:szCs w:val="32"/>
                <w:lang w:val="en-US" w:eastAsia="zh-CN"/>
              </w:rPr>
            </w:pPr>
          </w:p>
        </w:tc>
        <w:tc>
          <w:tcPr>
            <w:tcW w:w="839" w:type="pct"/>
            <w:noWrap w:val="0"/>
            <w:vAlign w:val="center"/>
          </w:tcPr>
          <w:p w14:paraId="6264DAF9">
            <w:pPr>
              <w:snapToGrid w:val="0"/>
              <w:spacing w:line="240" w:lineRule="auto"/>
              <w:contextualSpacing/>
              <w:rPr>
                <w:rFonts w:hint="eastAsia" w:ascii="仿宋" w:hAnsi="仿宋" w:eastAsia="仿宋" w:cs="仿宋"/>
                <w:color w:val="000000"/>
                <w:spacing w:val="2"/>
                <w:sz w:val="32"/>
                <w:szCs w:val="32"/>
                <w:lang w:val="en-US" w:eastAsia="zh-CN"/>
              </w:rPr>
            </w:pPr>
          </w:p>
        </w:tc>
      </w:tr>
      <w:tr w14:paraId="2822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91" w:type="pct"/>
            <w:noWrap w:val="0"/>
            <w:vAlign w:val="center"/>
          </w:tcPr>
          <w:p w14:paraId="2E814991">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6</w:t>
            </w:r>
          </w:p>
        </w:tc>
        <w:tc>
          <w:tcPr>
            <w:tcW w:w="3257" w:type="pct"/>
            <w:noWrap w:val="0"/>
            <w:vAlign w:val="center"/>
          </w:tcPr>
          <w:p w14:paraId="4BEDD5F8">
            <w:pPr>
              <w:snapToGrid w:val="0"/>
              <w:spacing w:line="240" w:lineRule="auto"/>
              <w:contextualSpacing/>
              <w:rPr>
                <w:rFonts w:hint="eastAsia" w:ascii="仿宋" w:hAnsi="仿宋" w:eastAsia="仿宋" w:cs="仿宋"/>
                <w:color w:val="000000"/>
                <w:spacing w:val="2"/>
                <w:sz w:val="32"/>
                <w:szCs w:val="32"/>
                <w:lang w:val="en-US" w:eastAsia="zh-CN"/>
              </w:rPr>
            </w:pPr>
          </w:p>
        </w:tc>
        <w:tc>
          <w:tcPr>
            <w:tcW w:w="511" w:type="pct"/>
            <w:noWrap w:val="0"/>
            <w:vAlign w:val="center"/>
          </w:tcPr>
          <w:p w14:paraId="1F4F69D6">
            <w:pPr>
              <w:snapToGrid w:val="0"/>
              <w:spacing w:line="240" w:lineRule="auto"/>
              <w:contextualSpacing/>
              <w:rPr>
                <w:rFonts w:hint="eastAsia" w:ascii="仿宋" w:hAnsi="仿宋" w:eastAsia="仿宋" w:cs="仿宋"/>
                <w:color w:val="000000"/>
                <w:spacing w:val="2"/>
                <w:sz w:val="32"/>
                <w:szCs w:val="32"/>
                <w:lang w:eastAsia="zh-CN"/>
              </w:rPr>
            </w:pPr>
          </w:p>
        </w:tc>
        <w:tc>
          <w:tcPr>
            <w:tcW w:w="839" w:type="pct"/>
            <w:noWrap w:val="0"/>
            <w:vAlign w:val="center"/>
          </w:tcPr>
          <w:p w14:paraId="56F03F65">
            <w:pPr>
              <w:snapToGrid w:val="0"/>
              <w:spacing w:line="240" w:lineRule="auto"/>
              <w:contextualSpacing/>
              <w:rPr>
                <w:rFonts w:hint="eastAsia" w:ascii="仿宋" w:hAnsi="仿宋" w:eastAsia="仿宋" w:cs="仿宋"/>
                <w:color w:val="000000"/>
                <w:spacing w:val="2"/>
                <w:sz w:val="32"/>
                <w:szCs w:val="32"/>
                <w:lang w:eastAsia="zh-CN"/>
              </w:rPr>
            </w:pPr>
          </w:p>
        </w:tc>
      </w:tr>
      <w:tr w14:paraId="5D3B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391" w:type="pct"/>
            <w:noWrap w:val="0"/>
            <w:vAlign w:val="center"/>
          </w:tcPr>
          <w:p w14:paraId="6347D034">
            <w:pPr>
              <w:snapToGrid w:val="0"/>
              <w:spacing w:line="240" w:lineRule="auto"/>
              <w:contextualSpacing/>
              <w:rPr>
                <w:rFonts w:hint="eastAsia" w:ascii="仿宋" w:hAnsi="仿宋" w:eastAsia="仿宋" w:cs="仿宋"/>
                <w:color w:val="000000"/>
                <w:spacing w:val="2"/>
                <w:sz w:val="32"/>
                <w:szCs w:val="32"/>
                <w:lang w:eastAsia="zh-CN"/>
              </w:rPr>
            </w:pPr>
          </w:p>
        </w:tc>
        <w:tc>
          <w:tcPr>
            <w:tcW w:w="3257" w:type="pct"/>
            <w:noWrap w:val="0"/>
            <w:vAlign w:val="center"/>
          </w:tcPr>
          <w:p w14:paraId="6AC71881">
            <w:pPr>
              <w:snapToGrid w:val="0"/>
              <w:spacing w:line="240" w:lineRule="auto"/>
              <w:contextualSpacing/>
              <w:rPr>
                <w:rFonts w:hint="eastAsia" w:ascii="仿宋" w:hAnsi="仿宋" w:eastAsia="仿宋" w:cs="仿宋"/>
                <w:color w:val="000000"/>
                <w:spacing w:val="2"/>
                <w:sz w:val="32"/>
                <w:szCs w:val="32"/>
                <w:lang w:val="en-US" w:eastAsia="zh-CN"/>
              </w:rPr>
            </w:pPr>
          </w:p>
        </w:tc>
        <w:tc>
          <w:tcPr>
            <w:tcW w:w="511" w:type="pct"/>
            <w:noWrap w:val="0"/>
            <w:vAlign w:val="center"/>
          </w:tcPr>
          <w:p w14:paraId="181B9554">
            <w:pPr>
              <w:snapToGrid w:val="0"/>
              <w:spacing w:line="240" w:lineRule="auto"/>
              <w:contextualSpacing/>
              <w:rPr>
                <w:rFonts w:hint="eastAsia" w:ascii="仿宋" w:hAnsi="仿宋" w:eastAsia="仿宋" w:cs="仿宋"/>
                <w:color w:val="000000"/>
                <w:spacing w:val="2"/>
                <w:sz w:val="32"/>
                <w:szCs w:val="32"/>
                <w:lang w:eastAsia="zh-CN"/>
              </w:rPr>
            </w:pPr>
          </w:p>
        </w:tc>
        <w:tc>
          <w:tcPr>
            <w:tcW w:w="839" w:type="pct"/>
            <w:noWrap w:val="0"/>
            <w:vAlign w:val="center"/>
          </w:tcPr>
          <w:p w14:paraId="0A6B7EED">
            <w:pPr>
              <w:snapToGrid w:val="0"/>
              <w:spacing w:line="240" w:lineRule="auto"/>
              <w:contextualSpacing/>
              <w:rPr>
                <w:rFonts w:hint="eastAsia" w:ascii="仿宋" w:hAnsi="仿宋" w:eastAsia="仿宋" w:cs="仿宋"/>
                <w:color w:val="000000"/>
                <w:spacing w:val="2"/>
                <w:sz w:val="32"/>
                <w:szCs w:val="32"/>
                <w:lang w:eastAsia="zh-CN"/>
              </w:rPr>
            </w:pPr>
          </w:p>
        </w:tc>
      </w:tr>
      <w:tr w14:paraId="13CC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391" w:type="pct"/>
            <w:noWrap w:val="0"/>
            <w:vAlign w:val="center"/>
          </w:tcPr>
          <w:p w14:paraId="6C97E152">
            <w:pPr>
              <w:snapToGrid w:val="0"/>
              <w:spacing w:line="240" w:lineRule="auto"/>
              <w:contextualSpacing/>
              <w:rPr>
                <w:rFonts w:hint="default" w:ascii="仿宋" w:hAnsi="仿宋" w:eastAsia="仿宋" w:cs="仿宋"/>
                <w:color w:val="000000"/>
                <w:spacing w:val="2"/>
                <w:sz w:val="32"/>
                <w:szCs w:val="32"/>
                <w:lang w:val="en-US" w:eastAsia="zh-CN"/>
              </w:rPr>
            </w:pPr>
          </w:p>
        </w:tc>
        <w:tc>
          <w:tcPr>
            <w:tcW w:w="3257" w:type="pct"/>
            <w:noWrap w:val="0"/>
            <w:vAlign w:val="center"/>
          </w:tcPr>
          <w:p w14:paraId="3CC69F2B">
            <w:pPr>
              <w:snapToGrid w:val="0"/>
              <w:spacing w:line="240" w:lineRule="auto"/>
              <w:contextualSpacing/>
              <w:rPr>
                <w:rFonts w:hint="default" w:ascii="仿宋" w:hAnsi="仿宋" w:eastAsia="仿宋" w:cs="仿宋"/>
                <w:color w:val="000000"/>
                <w:spacing w:val="2"/>
                <w:sz w:val="32"/>
                <w:szCs w:val="32"/>
                <w:lang w:val="en-US" w:eastAsia="zh-CN"/>
              </w:rPr>
            </w:pPr>
          </w:p>
        </w:tc>
        <w:tc>
          <w:tcPr>
            <w:tcW w:w="511" w:type="pct"/>
            <w:noWrap w:val="0"/>
            <w:vAlign w:val="center"/>
          </w:tcPr>
          <w:p w14:paraId="70DAD64F">
            <w:pPr>
              <w:snapToGrid w:val="0"/>
              <w:spacing w:line="240" w:lineRule="auto"/>
              <w:contextualSpacing/>
              <w:rPr>
                <w:rFonts w:hint="default" w:ascii="仿宋" w:hAnsi="仿宋" w:eastAsia="仿宋" w:cs="仿宋"/>
                <w:color w:val="000000"/>
                <w:spacing w:val="2"/>
                <w:sz w:val="32"/>
                <w:szCs w:val="32"/>
                <w:lang w:val="en-US" w:eastAsia="zh-CN"/>
              </w:rPr>
            </w:pPr>
          </w:p>
        </w:tc>
        <w:tc>
          <w:tcPr>
            <w:tcW w:w="839" w:type="pct"/>
            <w:noWrap w:val="0"/>
            <w:vAlign w:val="center"/>
          </w:tcPr>
          <w:p w14:paraId="7BFAF613">
            <w:pPr>
              <w:snapToGrid w:val="0"/>
              <w:spacing w:line="240" w:lineRule="auto"/>
              <w:contextualSpacing/>
              <w:rPr>
                <w:rFonts w:hint="default" w:ascii="仿宋" w:hAnsi="仿宋" w:eastAsia="仿宋" w:cs="仿宋"/>
                <w:color w:val="000000"/>
                <w:spacing w:val="2"/>
                <w:sz w:val="32"/>
                <w:szCs w:val="32"/>
                <w:lang w:val="en-US" w:eastAsia="zh-CN"/>
              </w:rPr>
            </w:pPr>
          </w:p>
        </w:tc>
      </w:tr>
    </w:tbl>
    <w:p w14:paraId="0C144795">
      <w:pPr>
        <w:pStyle w:val="5"/>
        <w:rPr>
          <w:rFonts w:hint="eastAsia" w:ascii="仿宋" w:hAnsi="仿宋" w:eastAsia="仿宋" w:cs="仿宋"/>
          <w:color w:val="auto"/>
          <w:sz w:val="30"/>
          <w:szCs w:val="30"/>
          <w:highlight w:val="none"/>
          <w:lang w:eastAsia="zh-CN"/>
        </w:rPr>
      </w:pPr>
    </w:p>
    <w:p w14:paraId="5B02DBCE">
      <w:pPr>
        <w:autoSpaceDN w:val="0"/>
        <w:spacing w:line="240" w:lineRule="auto"/>
        <w:ind w:firstLine="6560" w:firstLineChars="2050"/>
        <w:rPr>
          <w:rFonts w:hint="eastAsia" w:ascii="仿宋" w:hAnsi="仿宋" w:eastAsia="仿宋" w:cs="仿宋"/>
          <w:color w:val="auto"/>
          <w:kern w:val="2"/>
          <w:sz w:val="32"/>
          <w:szCs w:val="32"/>
        </w:rPr>
      </w:pPr>
    </w:p>
    <w:p w14:paraId="3B727D9B">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14:paraId="523A648E">
      <w:pPr>
        <w:jc w:val="center"/>
        <w:rPr>
          <w:rFonts w:hint="eastAsia" w:ascii="黑体" w:hAnsi="黑体" w:eastAsia="黑体" w:cs="黑体"/>
          <w:sz w:val="36"/>
          <w:szCs w:val="44"/>
          <w:lang w:val="en-US" w:eastAsia="zh-CN"/>
        </w:rPr>
      </w:pP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 xml:space="preserve">章  </w:t>
      </w:r>
      <w:r>
        <w:rPr>
          <w:rFonts w:hint="eastAsia" w:ascii="黑体" w:hAnsi="黑体" w:eastAsia="黑体" w:cs="黑体"/>
          <w:b/>
          <w:sz w:val="36"/>
          <w:szCs w:val="36"/>
          <w:lang w:val="en-US" w:eastAsia="zh-CN"/>
        </w:rPr>
        <w:t>采购项目技术、服务及其他商务要求</w:t>
      </w:r>
    </w:p>
    <w:p w14:paraId="72D33233">
      <w:pPr>
        <w:pStyle w:val="5"/>
        <w:rPr>
          <w:rFonts w:hint="eastAsia" w:ascii="黑体" w:hAnsi="黑体" w:eastAsia="黑体" w:cs="黑体"/>
          <w:lang w:val="en-US" w:eastAsia="zh-CN"/>
        </w:rPr>
      </w:pPr>
    </w:p>
    <w:p w14:paraId="01CA40A8">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项目限价：</w:t>
      </w:r>
      <w:bookmarkStart w:id="16" w:name="_GoBack"/>
      <w:bookmarkEnd w:id="16"/>
      <w:r>
        <w:rPr>
          <w:rFonts w:hint="eastAsia" w:ascii="仿宋" w:hAnsi="仿宋" w:eastAsia="仿宋" w:cs="仿宋"/>
          <w:color w:val="555555"/>
          <w:kern w:val="0"/>
          <w:sz w:val="32"/>
          <w:szCs w:val="32"/>
          <w:lang w:val="en-US" w:eastAsia="zh-CN"/>
        </w:rPr>
        <w:t xml:space="preserve">170元/人 </w:t>
      </w:r>
    </w:p>
    <w:p w14:paraId="2E758947">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技术参数要求：</w:t>
      </w:r>
    </w:p>
    <w:p w14:paraId="6C447633">
      <w:pPr>
        <w:pStyle w:val="16"/>
        <w:numPr>
          <w:ilvl w:val="0"/>
          <w:numId w:val="3"/>
        </w:numPr>
        <w:spacing w:line="240"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线路方案：(1)眉山春日拓展活动(2)丹棱幸福古村踏青一日游</w:t>
      </w:r>
    </w:p>
    <w:p w14:paraId="6D03FF61">
      <w:pPr>
        <w:pStyle w:val="16"/>
        <w:numPr>
          <w:ilvl w:val="0"/>
          <w:numId w:val="3"/>
        </w:numPr>
        <w:spacing w:line="240"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人数：约150-200人</w:t>
      </w:r>
    </w:p>
    <w:p w14:paraId="52E3FEFB">
      <w:pPr>
        <w:pStyle w:val="16"/>
        <w:numPr>
          <w:ilvl w:val="0"/>
          <w:numId w:val="3"/>
        </w:numPr>
        <w:spacing w:line="240"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车辆：具有正规资质，性能良好的旅游大巴车</w:t>
      </w:r>
    </w:p>
    <w:p w14:paraId="4ABE21E4">
      <w:pPr>
        <w:pStyle w:val="16"/>
        <w:numPr>
          <w:ilvl w:val="0"/>
          <w:numId w:val="3"/>
        </w:numPr>
        <w:spacing w:line="240"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午餐：中标后提供菜单，餐标不低于</w:t>
      </w:r>
      <w:r>
        <w:rPr>
          <w:rFonts w:hint="eastAsia" w:ascii="仿宋" w:hAnsi="仿宋" w:eastAsia="仿宋" w:cs="仿宋"/>
          <w:color w:val="auto"/>
          <w:sz w:val="32"/>
          <w:szCs w:val="32"/>
          <w:lang w:val="en-US" w:eastAsia="zh-CN"/>
        </w:rPr>
        <w:t>60</w:t>
      </w:r>
      <w:r>
        <w:rPr>
          <w:rFonts w:hint="eastAsia" w:ascii="仿宋" w:hAnsi="仿宋" w:eastAsia="仿宋" w:cs="仿宋"/>
          <w:sz w:val="32"/>
          <w:szCs w:val="32"/>
          <w:lang w:val="en-US" w:eastAsia="zh-CN"/>
        </w:rPr>
        <w:t>元/人，10人/桌</w:t>
      </w:r>
    </w:p>
    <w:p w14:paraId="5209AB70">
      <w:pPr>
        <w:pStyle w:val="16"/>
        <w:numPr>
          <w:ilvl w:val="0"/>
          <w:numId w:val="0"/>
        </w:numPr>
        <w:spacing w:line="240" w:lineRule="auto"/>
        <w:ind w:leftChars="0"/>
        <w:rPr>
          <w:rFonts w:hint="eastAsia" w:ascii="仿宋" w:hAnsi="仿宋" w:eastAsia="仿宋" w:cs="仿宋"/>
          <w:sz w:val="32"/>
          <w:szCs w:val="32"/>
          <w:lang w:val="en-US" w:eastAsia="zh-CN"/>
        </w:rPr>
      </w:pPr>
    </w:p>
    <w:p w14:paraId="675DE11C">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商务要求：</w:t>
      </w:r>
    </w:p>
    <w:p w14:paraId="25B49758">
      <w:pPr>
        <w:pStyle w:val="16"/>
        <w:numPr>
          <w:ilvl w:val="0"/>
          <w:numId w:val="4"/>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服务时间：2025年3月18日-3月20日完成春游活动服务，分3批出行。</w:t>
      </w:r>
    </w:p>
    <w:p w14:paraId="3FD701B2">
      <w:pPr>
        <w:pStyle w:val="16"/>
        <w:numPr>
          <w:ilvl w:val="0"/>
          <w:numId w:val="4"/>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服务要求：全程提供向导服务，全程空调车（七成新以上）接送。</w:t>
      </w:r>
    </w:p>
    <w:p w14:paraId="0726873E">
      <w:pPr>
        <w:pStyle w:val="16"/>
        <w:numPr>
          <w:ilvl w:val="0"/>
          <w:numId w:val="4"/>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履约要求：供应商应具备履行服务的能力。</w:t>
      </w:r>
    </w:p>
    <w:p w14:paraId="522A0EED">
      <w:pPr>
        <w:pStyle w:val="16"/>
        <w:numPr>
          <w:ilvl w:val="0"/>
          <w:numId w:val="4"/>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付款方式：服务结束后提供相关票据资料，1个月内转账付款。</w:t>
      </w:r>
    </w:p>
    <w:p w14:paraId="102DC8F1">
      <w:pPr>
        <w:pStyle w:val="16"/>
        <w:numPr>
          <w:ilvl w:val="0"/>
          <w:numId w:val="4"/>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违约责任及解决争议的方法：合同履行期间，若双方发生争议，可协商或由有关部门协调解决，协商或协调不成功的，双方均可向五通桥区人民法院提起诉讼依法维护其合法权益。</w:t>
      </w:r>
    </w:p>
    <w:p w14:paraId="341BBA68">
      <w:pPr>
        <w:rPr>
          <w:rFonts w:hint="eastAsia" w:ascii="黑体" w:hAnsi="黑体" w:eastAsia="黑体" w:cs="黑体"/>
          <w:lang w:eastAsia="zh-CN"/>
        </w:rPr>
      </w:pPr>
    </w:p>
    <w:p w14:paraId="45896D3B">
      <w:pPr>
        <w:pStyle w:val="3"/>
        <w:rPr>
          <w:rFonts w:hint="eastAsia" w:ascii="黑体" w:hAnsi="黑体" w:eastAsia="黑体" w:cs="黑体"/>
          <w:lang w:eastAsia="zh-CN"/>
        </w:rPr>
      </w:pPr>
    </w:p>
    <w:p w14:paraId="1FED6F53">
      <w:pPr>
        <w:rPr>
          <w:rFonts w:hint="eastAsia" w:ascii="黑体" w:hAnsi="黑体" w:eastAsia="黑体" w:cs="黑体"/>
          <w:lang w:eastAsia="zh-CN"/>
        </w:rPr>
      </w:pPr>
      <w:r>
        <w:rPr>
          <w:rFonts w:hint="eastAsia" w:ascii="黑体" w:hAnsi="黑体" w:eastAsia="黑体" w:cs="黑体"/>
          <w:lang w:eastAsia="zh-CN"/>
        </w:rPr>
        <w:br w:type="page"/>
      </w:r>
    </w:p>
    <w:p w14:paraId="4C773619">
      <w:pPr>
        <w:pStyle w:val="16"/>
        <w:rPr>
          <w:rFonts w:hint="eastAsia" w:ascii="黑体" w:hAnsi="黑体" w:eastAsia="黑体" w:cs="黑体"/>
          <w:lang w:eastAsia="zh-CN"/>
        </w:rPr>
      </w:pPr>
    </w:p>
    <w:p w14:paraId="5335AE7A">
      <w:pPr>
        <w:pStyle w:val="5"/>
        <w:rPr>
          <w:rFonts w:hint="eastAsia" w:ascii="黑体" w:hAnsi="黑体" w:eastAsia="黑体" w:cs="黑体"/>
          <w:lang w:eastAsia="zh-CN"/>
        </w:rPr>
      </w:pPr>
      <w:r>
        <w:rPr>
          <w:rFonts w:hint="eastAsia" w:ascii="黑体" w:hAnsi="黑体" w:eastAsia="黑体" w:cs="黑体"/>
          <w:sz w:val="32"/>
          <w:szCs w:val="40"/>
          <w:lang w:eastAsia="zh-CN"/>
        </w:rPr>
        <w:t>评分标准</w:t>
      </w:r>
      <w:r>
        <w:rPr>
          <w:rFonts w:hint="eastAsia" w:ascii="黑体" w:hAnsi="黑体" w:eastAsia="黑体" w:cs="黑体"/>
          <w:lang w:eastAsia="zh-CN"/>
        </w:rPr>
        <w:t>：</w:t>
      </w:r>
    </w:p>
    <w:tbl>
      <w:tblPr>
        <w:tblStyle w:val="17"/>
        <w:tblW w:w="8998" w:type="dxa"/>
        <w:jc w:val="center"/>
        <w:tblLayout w:type="fixed"/>
        <w:tblCellMar>
          <w:top w:w="0" w:type="dxa"/>
          <w:left w:w="108" w:type="dxa"/>
          <w:bottom w:w="0" w:type="dxa"/>
          <w:right w:w="108" w:type="dxa"/>
        </w:tblCellMar>
      </w:tblPr>
      <w:tblGrid>
        <w:gridCol w:w="523"/>
        <w:gridCol w:w="924"/>
        <w:gridCol w:w="777"/>
        <w:gridCol w:w="5883"/>
        <w:gridCol w:w="891"/>
      </w:tblGrid>
      <w:tr w14:paraId="1752BA00">
        <w:tblPrEx>
          <w:tblCellMar>
            <w:top w:w="0" w:type="dxa"/>
            <w:left w:w="108" w:type="dxa"/>
            <w:bottom w:w="0" w:type="dxa"/>
            <w:right w:w="108" w:type="dxa"/>
          </w:tblCellMar>
        </w:tblPrEx>
        <w:trPr>
          <w:cantSplit/>
          <w:trHeight w:val="1638"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11CB749E">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序号</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61DA18C5">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评分因素</w:t>
            </w:r>
          </w:p>
          <w:p w14:paraId="14F97A5D">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及权重</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5158D33D">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分值</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49E397B3">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评分标准</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C02B6C0">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说 明</w:t>
            </w:r>
          </w:p>
        </w:tc>
      </w:tr>
      <w:tr w14:paraId="462CFE23">
        <w:tblPrEx>
          <w:tblCellMar>
            <w:top w:w="0" w:type="dxa"/>
            <w:left w:w="108" w:type="dxa"/>
            <w:bottom w:w="0" w:type="dxa"/>
            <w:right w:w="108" w:type="dxa"/>
          </w:tblCellMar>
        </w:tblPrEx>
        <w:trPr>
          <w:trHeight w:val="3311"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1A791FDC">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1</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53681FC9">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报价</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6F8E84A1">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40</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2525B7A8">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满足招标文件要求且投标价格最低的投标报价为评标基准价，其价格分为满分。其他供应商的价格分统一按照下列公式计算：投标报价得分=(评标基准价÷投标报价)×40%×100；</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5A2DA58E">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共同评审因素</w:t>
            </w:r>
          </w:p>
        </w:tc>
      </w:tr>
      <w:tr w14:paraId="795ECE3E">
        <w:tblPrEx>
          <w:tblCellMar>
            <w:top w:w="0" w:type="dxa"/>
            <w:left w:w="108" w:type="dxa"/>
            <w:bottom w:w="0" w:type="dxa"/>
            <w:right w:w="108" w:type="dxa"/>
          </w:tblCellMar>
        </w:tblPrEx>
        <w:trPr>
          <w:trHeight w:val="1638"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48A007B6">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2</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70DC8546">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lang w:eastAsia="zh-CN"/>
              </w:rPr>
              <w:t>技术要求</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1DD5E2C6">
            <w:pPr>
              <w:spacing w:line="320" w:lineRule="atLeast"/>
              <w:jc w:val="both"/>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20</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73DF35EE">
            <w:pPr>
              <w:rPr>
                <w:rFonts w:hint="eastAsia" w:ascii="仿宋" w:hAnsi="仿宋" w:eastAsia="仿宋" w:cs="仿宋"/>
                <w:sz w:val="32"/>
                <w:szCs w:val="32"/>
                <w:lang w:val="en-US" w:eastAsia="zh-CN"/>
              </w:rPr>
            </w:pPr>
            <w:r>
              <w:rPr>
                <w:rFonts w:hint="eastAsia" w:ascii="仿宋" w:hAnsi="仿宋" w:eastAsia="仿宋" w:cs="仿宋"/>
                <w:kern w:val="1"/>
                <w:sz w:val="32"/>
                <w:szCs w:val="32"/>
                <w:lang w:val="en-US" w:eastAsia="zh-CN"/>
              </w:rPr>
              <w:t>根据供应商对技术，完全响应文件要求没有负偏离的得满分，有一项负偏离的扣2分，扣完为止</w:t>
            </w:r>
            <w:r>
              <w:rPr>
                <w:rFonts w:hint="eastAsia" w:ascii="仿宋" w:hAnsi="仿宋" w:eastAsia="仿宋" w:cs="仿宋"/>
                <w:kern w:val="1"/>
                <w:sz w:val="32"/>
                <w:szCs w:val="32"/>
              </w:rPr>
              <w:t>。</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6926BAF0">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r w14:paraId="76988B12">
        <w:tblPrEx>
          <w:tblCellMar>
            <w:top w:w="0" w:type="dxa"/>
            <w:left w:w="108" w:type="dxa"/>
            <w:bottom w:w="0" w:type="dxa"/>
            <w:right w:w="108" w:type="dxa"/>
          </w:tblCellMar>
        </w:tblPrEx>
        <w:trPr>
          <w:trHeight w:val="2580" w:hRule="exac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487FCF6A">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3</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0E1C8920">
            <w:pPr>
              <w:spacing w:line="320" w:lineRule="atLeast"/>
              <w:jc w:val="center"/>
              <w:rPr>
                <w:rFonts w:hint="eastAsia" w:ascii="仿宋" w:hAnsi="仿宋" w:eastAsia="仿宋" w:cs="仿宋"/>
                <w:sz w:val="32"/>
                <w:szCs w:val="32"/>
              </w:rPr>
            </w:pPr>
          </w:p>
          <w:p w14:paraId="05377DEB">
            <w:pPr>
              <w:spacing w:line="320" w:lineRule="atLeast"/>
              <w:jc w:val="center"/>
              <w:rPr>
                <w:rFonts w:hint="eastAsia" w:ascii="仿宋" w:hAnsi="仿宋" w:eastAsia="仿宋" w:cs="仿宋"/>
                <w:kern w:val="1"/>
                <w:sz w:val="32"/>
                <w:szCs w:val="32"/>
                <w:lang w:val="en-US" w:eastAsia="zh-CN"/>
              </w:rPr>
            </w:pPr>
            <w:r>
              <w:rPr>
                <w:rFonts w:hint="eastAsia" w:ascii="仿宋" w:hAnsi="仿宋" w:eastAsia="仿宋" w:cs="仿宋"/>
                <w:sz w:val="32"/>
                <w:szCs w:val="32"/>
              </w:rPr>
              <w:t>服务</w:t>
            </w:r>
            <w:r>
              <w:rPr>
                <w:rFonts w:hint="eastAsia" w:ascii="仿宋" w:hAnsi="仿宋" w:eastAsia="仿宋" w:cs="仿宋"/>
                <w:kern w:val="1"/>
                <w:sz w:val="32"/>
                <w:szCs w:val="32"/>
                <w:lang w:val="en-US" w:eastAsia="zh-CN"/>
              </w:rPr>
              <w:t>方案</w:t>
            </w:r>
          </w:p>
          <w:p w14:paraId="55B3AFD1">
            <w:pPr>
              <w:spacing w:line="320" w:lineRule="atLeast"/>
              <w:jc w:val="center"/>
              <w:rPr>
                <w:rFonts w:hint="eastAsia" w:ascii="仿宋" w:hAnsi="仿宋" w:eastAsia="仿宋" w:cs="仿宋"/>
                <w:sz w:val="32"/>
                <w:szCs w:val="32"/>
              </w:rPr>
            </w:pP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75EAB4D1">
            <w:pPr>
              <w:rPr>
                <w:rFonts w:hint="default" w:ascii="仿宋" w:hAnsi="仿宋" w:eastAsia="仿宋" w:cs="仿宋"/>
                <w:sz w:val="32"/>
                <w:szCs w:val="32"/>
                <w:lang w:val="en-US" w:eastAsia="zh-CN"/>
              </w:rPr>
            </w:pPr>
            <w:r>
              <w:rPr>
                <w:rFonts w:hint="eastAsia" w:ascii="仿宋" w:hAnsi="仿宋" w:eastAsia="仿宋" w:cs="仿宋"/>
                <w:kern w:val="1"/>
                <w:sz w:val="32"/>
                <w:szCs w:val="32"/>
                <w:lang w:val="en-US" w:eastAsia="zh-CN"/>
              </w:rPr>
              <w:t>40</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0A711F81">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投标人针对本项目提供春游实施方案，方案内容包括：（1）活动组织；（2）陪同人员和提供车辆；（3）线路安排；（4）质量保证；（5）服务方案。</w:t>
            </w:r>
          </w:p>
          <w:p w14:paraId="752CC942">
            <w:pP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方案完整、高效、恰当每项得8分，方案基本完整、恰当每项得5分，漏项得0分。</w:t>
            </w:r>
          </w:p>
          <w:p w14:paraId="2351ACF6">
            <w:pPr>
              <w:rPr>
                <w:rFonts w:hint="eastAsia" w:ascii="仿宋" w:hAnsi="仿宋" w:eastAsia="仿宋" w:cs="仿宋"/>
                <w:kern w:val="1"/>
                <w:sz w:val="32"/>
                <w:szCs w:val="32"/>
                <w:lang w:val="en-US" w:eastAsia="zh-CN"/>
              </w:rPr>
            </w:pP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CF9A00D">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bl>
    <w:p w14:paraId="56A884EA">
      <w:pPr>
        <w:rPr>
          <w:rFonts w:hint="default" w:ascii="黑体" w:hAnsi="黑体" w:eastAsia="黑体" w:cs="黑体"/>
          <w:lang w:val="en-US" w:eastAsia="zh-CN"/>
        </w:rPr>
      </w:pPr>
      <w:r>
        <w:rPr>
          <w:rFonts w:hint="eastAsia" w:ascii="黑体" w:hAnsi="黑体" w:eastAsia="黑体" w:cs="黑体"/>
          <w:lang w:val="en-US" w:eastAsia="zh-CN"/>
        </w:rPr>
        <w:t xml:space="preserve">  </w:t>
      </w:r>
    </w:p>
    <w:sectPr>
      <w:headerReference r:id="rId4" w:type="first"/>
      <w:footerReference r:id="rId6" w:type="first"/>
      <w:headerReference r:id="rId3" w:type="default"/>
      <w:footerReference r:id="rId5" w:type="default"/>
      <w:pgSz w:w="11906" w:h="16838"/>
      <w:pgMar w:top="1134" w:right="1134" w:bottom="1077" w:left="1361" w:header="680" w:footer="680"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2941E">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B13AE3">
                          <w:pPr>
                            <w:pStyle w:val="12"/>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B13AE3">
                    <w:pPr>
                      <w:pStyle w:val="12"/>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6C2D4">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75A2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2C75A2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71F18">
    <w:pPr>
      <w:pStyle w:val="13"/>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7FA6C">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abstractNum w:abstractNumId="1">
    <w:nsid w:val="C45F5704"/>
    <w:multiLevelType w:val="singleLevel"/>
    <w:tmpl w:val="C45F5704"/>
    <w:lvl w:ilvl="0" w:tentative="0">
      <w:start w:val="1"/>
      <w:numFmt w:val="chineseCounting"/>
      <w:suff w:val="nothing"/>
      <w:lvlText w:val="%1、"/>
      <w:lvlJc w:val="left"/>
      <w:rPr>
        <w:rFonts w:hint="eastAsia"/>
      </w:rPr>
    </w:lvl>
  </w:abstractNum>
  <w:abstractNum w:abstractNumId="2">
    <w:nsid w:val="D349B04E"/>
    <w:multiLevelType w:val="singleLevel"/>
    <w:tmpl w:val="D349B04E"/>
    <w:lvl w:ilvl="0" w:tentative="0">
      <w:start w:val="1"/>
      <w:numFmt w:val="decimal"/>
      <w:suff w:val="nothing"/>
      <w:lvlText w:val="%1．"/>
      <w:lvlJc w:val="left"/>
      <w:pPr>
        <w:ind w:left="0" w:firstLine="400"/>
      </w:pPr>
      <w:rPr>
        <w:rFonts w:hint="default"/>
      </w:rPr>
    </w:lvl>
  </w:abstractNum>
  <w:abstractNum w:abstractNumId="3">
    <w:nsid w:val="1D6A547E"/>
    <w:multiLevelType w:val="singleLevel"/>
    <w:tmpl w:val="1D6A547E"/>
    <w:lvl w:ilvl="0" w:tentative="0">
      <w:start w:val="1"/>
      <w:numFmt w:val="decimal"/>
      <w:suff w:val="nothing"/>
      <w:lvlText w:val="%1、"/>
      <w:lvlJc w:val="left"/>
      <w:pPr>
        <w:ind w:left="21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VmZThjMzNiOWMyOWMxMTEwM2ZiOGYwYzY1NzgifQ=="/>
  </w:docVars>
  <w:rsids>
    <w:rsidRoot w:val="20B86F62"/>
    <w:rsid w:val="00FE51BA"/>
    <w:rsid w:val="01724615"/>
    <w:rsid w:val="01AC44D5"/>
    <w:rsid w:val="01DA1F83"/>
    <w:rsid w:val="02653FAC"/>
    <w:rsid w:val="038264FB"/>
    <w:rsid w:val="03E45948"/>
    <w:rsid w:val="03EB6F22"/>
    <w:rsid w:val="047A7398"/>
    <w:rsid w:val="04976AF6"/>
    <w:rsid w:val="05813897"/>
    <w:rsid w:val="05B93485"/>
    <w:rsid w:val="05DD44EC"/>
    <w:rsid w:val="05FA4A68"/>
    <w:rsid w:val="06C83EF1"/>
    <w:rsid w:val="07954271"/>
    <w:rsid w:val="07E32607"/>
    <w:rsid w:val="083F7233"/>
    <w:rsid w:val="08570094"/>
    <w:rsid w:val="0892424A"/>
    <w:rsid w:val="08A100E8"/>
    <w:rsid w:val="08D706EB"/>
    <w:rsid w:val="09281C73"/>
    <w:rsid w:val="092B0852"/>
    <w:rsid w:val="099C0C65"/>
    <w:rsid w:val="09CF2980"/>
    <w:rsid w:val="0A5766D2"/>
    <w:rsid w:val="0B481B96"/>
    <w:rsid w:val="0B5B6EA7"/>
    <w:rsid w:val="0B9B184D"/>
    <w:rsid w:val="0BBF2600"/>
    <w:rsid w:val="0C3E61B9"/>
    <w:rsid w:val="0DA12370"/>
    <w:rsid w:val="0DBF0EC4"/>
    <w:rsid w:val="0DE40DBE"/>
    <w:rsid w:val="0E672DB3"/>
    <w:rsid w:val="0E904937"/>
    <w:rsid w:val="0E9E1831"/>
    <w:rsid w:val="0EAB0093"/>
    <w:rsid w:val="0F225786"/>
    <w:rsid w:val="0FCE2C6B"/>
    <w:rsid w:val="107F49DA"/>
    <w:rsid w:val="11103FB2"/>
    <w:rsid w:val="11106DD4"/>
    <w:rsid w:val="113065C7"/>
    <w:rsid w:val="11551C0D"/>
    <w:rsid w:val="11630C29"/>
    <w:rsid w:val="12374305"/>
    <w:rsid w:val="12AB3D92"/>
    <w:rsid w:val="132D67B3"/>
    <w:rsid w:val="13320F8E"/>
    <w:rsid w:val="13E72023"/>
    <w:rsid w:val="159705C2"/>
    <w:rsid w:val="182F44F3"/>
    <w:rsid w:val="184E41FF"/>
    <w:rsid w:val="1865790E"/>
    <w:rsid w:val="189E6B7E"/>
    <w:rsid w:val="18E41C4F"/>
    <w:rsid w:val="18EA25BB"/>
    <w:rsid w:val="193B3817"/>
    <w:rsid w:val="19497A6B"/>
    <w:rsid w:val="1998123A"/>
    <w:rsid w:val="19DF1744"/>
    <w:rsid w:val="1A8B6B5A"/>
    <w:rsid w:val="1AF5353D"/>
    <w:rsid w:val="1B493578"/>
    <w:rsid w:val="1B5723EF"/>
    <w:rsid w:val="1B93321C"/>
    <w:rsid w:val="1BAD400C"/>
    <w:rsid w:val="1C380FAC"/>
    <w:rsid w:val="1DE81A96"/>
    <w:rsid w:val="1E127696"/>
    <w:rsid w:val="1E4521C9"/>
    <w:rsid w:val="1EC85776"/>
    <w:rsid w:val="1F0B1E38"/>
    <w:rsid w:val="1F176598"/>
    <w:rsid w:val="1F782175"/>
    <w:rsid w:val="1FFB4E00"/>
    <w:rsid w:val="200C1DCC"/>
    <w:rsid w:val="2024443A"/>
    <w:rsid w:val="20B62B46"/>
    <w:rsid w:val="20B86F62"/>
    <w:rsid w:val="20DA469D"/>
    <w:rsid w:val="21141E9E"/>
    <w:rsid w:val="219C0935"/>
    <w:rsid w:val="219C0C5F"/>
    <w:rsid w:val="223E3923"/>
    <w:rsid w:val="22CD72A0"/>
    <w:rsid w:val="22DC6C27"/>
    <w:rsid w:val="230709BE"/>
    <w:rsid w:val="2333299E"/>
    <w:rsid w:val="23B92E0F"/>
    <w:rsid w:val="245C589E"/>
    <w:rsid w:val="24640781"/>
    <w:rsid w:val="24972E1D"/>
    <w:rsid w:val="2575459C"/>
    <w:rsid w:val="258F1C50"/>
    <w:rsid w:val="260C2C13"/>
    <w:rsid w:val="26DE5391"/>
    <w:rsid w:val="26F92D9C"/>
    <w:rsid w:val="27727EF2"/>
    <w:rsid w:val="27E167C8"/>
    <w:rsid w:val="27E8188C"/>
    <w:rsid w:val="27FC6D6D"/>
    <w:rsid w:val="280F7F64"/>
    <w:rsid w:val="286E79EF"/>
    <w:rsid w:val="295D2E54"/>
    <w:rsid w:val="29E733A5"/>
    <w:rsid w:val="29EC6ACA"/>
    <w:rsid w:val="2A571F3F"/>
    <w:rsid w:val="2A6F6F5A"/>
    <w:rsid w:val="2A752D03"/>
    <w:rsid w:val="2A843F12"/>
    <w:rsid w:val="2A954942"/>
    <w:rsid w:val="2AD02384"/>
    <w:rsid w:val="2B4A4982"/>
    <w:rsid w:val="2B6C2AA5"/>
    <w:rsid w:val="2C3A64AA"/>
    <w:rsid w:val="2C603C27"/>
    <w:rsid w:val="2CC9483E"/>
    <w:rsid w:val="2CD61AC0"/>
    <w:rsid w:val="2D003A0D"/>
    <w:rsid w:val="2D225054"/>
    <w:rsid w:val="2D3E76EB"/>
    <w:rsid w:val="2D675D4F"/>
    <w:rsid w:val="2DAD2928"/>
    <w:rsid w:val="2E3D6C9E"/>
    <w:rsid w:val="2E681D4B"/>
    <w:rsid w:val="2E763F41"/>
    <w:rsid w:val="2ED755ED"/>
    <w:rsid w:val="2EFF3B7B"/>
    <w:rsid w:val="2F2D5CF3"/>
    <w:rsid w:val="2FFD053A"/>
    <w:rsid w:val="305074F8"/>
    <w:rsid w:val="30567424"/>
    <w:rsid w:val="30A47F0F"/>
    <w:rsid w:val="31240107"/>
    <w:rsid w:val="31AE2E30"/>
    <w:rsid w:val="32145B6C"/>
    <w:rsid w:val="32482F63"/>
    <w:rsid w:val="32887A79"/>
    <w:rsid w:val="3367096B"/>
    <w:rsid w:val="34015BA1"/>
    <w:rsid w:val="34104944"/>
    <w:rsid w:val="34607C42"/>
    <w:rsid w:val="34AD3121"/>
    <w:rsid w:val="35850C85"/>
    <w:rsid w:val="358537EA"/>
    <w:rsid w:val="36206E51"/>
    <w:rsid w:val="3645059F"/>
    <w:rsid w:val="36FA0C0E"/>
    <w:rsid w:val="37564C34"/>
    <w:rsid w:val="37AF0C3F"/>
    <w:rsid w:val="381338B3"/>
    <w:rsid w:val="387820A1"/>
    <w:rsid w:val="391D2725"/>
    <w:rsid w:val="39241426"/>
    <w:rsid w:val="3A0A5821"/>
    <w:rsid w:val="3ADC539A"/>
    <w:rsid w:val="3AE30FAC"/>
    <w:rsid w:val="3B3A67B9"/>
    <w:rsid w:val="3B572D45"/>
    <w:rsid w:val="3B65061B"/>
    <w:rsid w:val="3BB47094"/>
    <w:rsid w:val="3BD82555"/>
    <w:rsid w:val="3C396CD8"/>
    <w:rsid w:val="3D912EF9"/>
    <w:rsid w:val="3DA25E25"/>
    <w:rsid w:val="3E103198"/>
    <w:rsid w:val="3E5C675F"/>
    <w:rsid w:val="3EBE1131"/>
    <w:rsid w:val="3F541632"/>
    <w:rsid w:val="4003626C"/>
    <w:rsid w:val="410C5355"/>
    <w:rsid w:val="416F0B2D"/>
    <w:rsid w:val="41817FB6"/>
    <w:rsid w:val="41894D39"/>
    <w:rsid w:val="41A91634"/>
    <w:rsid w:val="41C408EB"/>
    <w:rsid w:val="41E85D9F"/>
    <w:rsid w:val="421364F5"/>
    <w:rsid w:val="426D0D62"/>
    <w:rsid w:val="42893EDE"/>
    <w:rsid w:val="42C02DF3"/>
    <w:rsid w:val="42CD5B5D"/>
    <w:rsid w:val="43102EB4"/>
    <w:rsid w:val="431A22B8"/>
    <w:rsid w:val="439A1C32"/>
    <w:rsid w:val="43C05837"/>
    <w:rsid w:val="43EA5A8B"/>
    <w:rsid w:val="440E56DA"/>
    <w:rsid w:val="443E01E7"/>
    <w:rsid w:val="44665196"/>
    <w:rsid w:val="44CD6391"/>
    <w:rsid w:val="44D66D93"/>
    <w:rsid w:val="45484D77"/>
    <w:rsid w:val="45976AE3"/>
    <w:rsid w:val="45D1027C"/>
    <w:rsid w:val="46653F5C"/>
    <w:rsid w:val="4670116D"/>
    <w:rsid w:val="46BF177E"/>
    <w:rsid w:val="46CC0FBC"/>
    <w:rsid w:val="46F821E8"/>
    <w:rsid w:val="47E92A18"/>
    <w:rsid w:val="484F3834"/>
    <w:rsid w:val="486A1208"/>
    <w:rsid w:val="487E3CCE"/>
    <w:rsid w:val="491D7010"/>
    <w:rsid w:val="49F61C6A"/>
    <w:rsid w:val="4A2F0F8F"/>
    <w:rsid w:val="4A92068D"/>
    <w:rsid w:val="4AF20E01"/>
    <w:rsid w:val="4B21070C"/>
    <w:rsid w:val="4C6D260E"/>
    <w:rsid w:val="4CA65850"/>
    <w:rsid w:val="4D4867BB"/>
    <w:rsid w:val="4D7854C0"/>
    <w:rsid w:val="4E1C022A"/>
    <w:rsid w:val="4E1E1D89"/>
    <w:rsid w:val="4FA771C2"/>
    <w:rsid w:val="4FDC7DDA"/>
    <w:rsid w:val="5003209D"/>
    <w:rsid w:val="508E2B4E"/>
    <w:rsid w:val="524A480D"/>
    <w:rsid w:val="5263348D"/>
    <w:rsid w:val="527E7420"/>
    <w:rsid w:val="5292301A"/>
    <w:rsid w:val="52C10CD7"/>
    <w:rsid w:val="52F64CB8"/>
    <w:rsid w:val="52FB39A7"/>
    <w:rsid w:val="531641E9"/>
    <w:rsid w:val="5446604D"/>
    <w:rsid w:val="547E1AE0"/>
    <w:rsid w:val="54F554AC"/>
    <w:rsid w:val="551A0D5D"/>
    <w:rsid w:val="55EE4C06"/>
    <w:rsid w:val="561A148B"/>
    <w:rsid w:val="565B213D"/>
    <w:rsid w:val="56773B8D"/>
    <w:rsid w:val="56D444B4"/>
    <w:rsid w:val="572D0183"/>
    <w:rsid w:val="57567F4A"/>
    <w:rsid w:val="57667B7B"/>
    <w:rsid w:val="578D66D2"/>
    <w:rsid w:val="580A2903"/>
    <w:rsid w:val="58367041"/>
    <w:rsid w:val="583A1E71"/>
    <w:rsid w:val="584A40DF"/>
    <w:rsid w:val="589814E3"/>
    <w:rsid w:val="58B969E6"/>
    <w:rsid w:val="58C42CE6"/>
    <w:rsid w:val="59035A6B"/>
    <w:rsid w:val="592C7507"/>
    <w:rsid w:val="59A37B89"/>
    <w:rsid w:val="59D35B7E"/>
    <w:rsid w:val="5AD77D82"/>
    <w:rsid w:val="5B134CBA"/>
    <w:rsid w:val="5B214FE3"/>
    <w:rsid w:val="5C557763"/>
    <w:rsid w:val="5CC55E89"/>
    <w:rsid w:val="5CC74DB0"/>
    <w:rsid w:val="5DA41796"/>
    <w:rsid w:val="5DC167D7"/>
    <w:rsid w:val="5F0E08C6"/>
    <w:rsid w:val="5F5075CA"/>
    <w:rsid w:val="5F7007A2"/>
    <w:rsid w:val="5F85487D"/>
    <w:rsid w:val="5FB650D9"/>
    <w:rsid w:val="6096215E"/>
    <w:rsid w:val="626070DF"/>
    <w:rsid w:val="62B86D17"/>
    <w:rsid w:val="62C824CA"/>
    <w:rsid w:val="635F68CB"/>
    <w:rsid w:val="642A2386"/>
    <w:rsid w:val="64677320"/>
    <w:rsid w:val="653C0392"/>
    <w:rsid w:val="6586792A"/>
    <w:rsid w:val="65DD20B3"/>
    <w:rsid w:val="662C503A"/>
    <w:rsid w:val="66BB543F"/>
    <w:rsid w:val="66C47D68"/>
    <w:rsid w:val="67A45BAF"/>
    <w:rsid w:val="67CF5796"/>
    <w:rsid w:val="6855309E"/>
    <w:rsid w:val="68B23C16"/>
    <w:rsid w:val="69264D03"/>
    <w:rsid w:val="694F76A8"/>
    <w:rsid w:val="69884565"/>
    <w:rsid w:val="69CF4DB4"/>
    <w:rsid w:val="69F16575"/>
    <w:rsid w:val="69FE6269"/>
    <w:rsid w:val="6B110ED0"/>
    <w:rsid w:val="6B3D74AC"/>
    <w:rsid w:val="6BF5199F"/>
    <w:rsid w:val="6C81461E"/>
    <w:rsid w:val="6CE610BF"/>
    <w:rsid w:val="6CED312F"/>
    <w:rsid w:val="6CF2654E"/>
    <w:rsid w:val="6D1916FD"/>
    <w:rsid w:val="6D226C43"/>
    <w:rsid w:val="6D535020"/>
    <w:rsid w:val="6DCF5925"/>
    <w:rsid w:val="6E383ABA"/>
    <w:rsid w:val="6E8B493F"/>
    <w:rsid w:val="6EA3545A"/>
    <w:rsid w:val="6F9F7F7D"/>
    <w:rsid w:val="719A4F83"/>
    <w:rsid w:val="71DE50A5"/>
    <w:rsid w:val="722B548E"/>
    <w:rsid w:val="722E4AEA"/>
    <w:rsid w:val="73683978"/>
    <w:rsid w:val="73F43F5E"/>
    <w:rsid w:val="7438150C"/>
    <w:rsid w:val="746F037C"/>
    <w:rsid w:val="74802750"/>
    <w:rsid w:val="74D379E1"/>
    <w:rsid w:val="74F82EAA"/>
    <w:rsid w:val="75457DB7"/>
    <w:rsid w:val="7563067A"/>
    <w:rsid w:val="75E55D62"/>
    <w:rsid w:val="76466533"/>
    <w:rsid w:val="77F97E1C"/>
    <w:rsid w:val="785111E8"/>
    <w:rsid w:val="78E831F4"/>
    <w:rsid w:val="79AC141B"/>
    <w:rsid w:val="79B51E35"/>
    <w:rsid w:val="79EA27D4"/>
    <w:rsid w:val="7AE23540"/>
    <w:rsid w:val="7C29457B"/>
    <w:rsid w:val="7CE9423F"/>
    <w:rsid w:val="7D9A1A1C"/>
    <w:rsid w:val="7E163DF2"/>
    <w:rsid w:val="7E1D587C"/>
    <w:rsid w:val="7E1E62DD"/>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3">
    <w:name w:val="heading 2"/>
    <w:basedOn w:val="1"/>
    <w:next w:val="1"/>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after="120" w:afterLines="0" w:afterAutospacing="0"/>
    </w:pPr>
  </w:style>
  <w:style w:type="paragraph" w:styleId="6">
    <w:name w:val="Quote"/>
    <w:basedOn w:val="1"/>
    <w:next w:val="1"/>
    <w:qFormat/>
    <w:uiPriority w:val="0"/>
    <w:rPr>
      <w:i/>
      <w:iCs/>
      <w:color w:val="000000"/>
      <w:szCs w:val="22"/>
    </w:rPr>
  </w:style>
  <w:style w:type="paragraph" w:styleId="7">
    <w:name w:val="Body Text Indent"/>
    <w:basedOn w:val="1"/>
    <w:next w:val="8"/>
    <w:qFormat/>
    <w:uiPriority w:val="0"/>
    <w:pPr>
      <w:spacing w:after="120" w:afterLines="0"/>
      <w:ind w:left="420" w:leftChars="200"/>
    </w:pPr>
  </w:style>
  <w:style w:type="paragraph" w:styleId="8">
    <w:name w:val="envelope return"/>
    <w:basedOn w:val="1"/>
    <w:qFormat/>
    <w:uiPriority w:val="0"/>
    <w:pPr>
      <w:snapToGrid w:val="0"/>
    </w:pPr>
    <w:rPr>
      <w:rFonts w:ascii="Arial" w:hAnsi="Arial"/>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9628"/>
      </w:tabs>
      <w:spacing w:line="360" w:lineRule="auto"/>
      <w:jc w:val="center"/>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5"/>
    <w:qFormat/>
    <w:uiPriority w:val="0"/>
    <w:pPr>
      <w:ind w:firstLine="420" w:firstLineChars="100"/>
    </w:pPr>
    <w:rPr>
      <w:rFonts w:ascii="Times New Roman" w:hAnsi="Times New Roman" w:eastAsia="宋体" w:cs="Times New Roma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0"/>
    <w:rPr>
      <w:color w:val="0000FF"/>
      <w:u w:val="single"/>
    </w:rPr>
  </w:style>
  <w:style w:type="character" w:customStyle="1" w:styleId="22">
    <w:name w:val="标题 1 Char"/>
    <w:link w:val="2"/>
    <w:qFormat/>
    <w:uiPriority w:val="0"/>
    <w:rPr>
      <w:rFonts w:hint="eastAsia" w:ascii="Times New Roman" w:hAnsi="Times New Roman" w:eastAsia="宋体"/>
      <w:b/>
      <w:color w:val="000000"/>
      <w:kern w:val="44"/>
      <w:sz w:val="44"/>
      <w:lang w:val="zh-CN"/>
    </w:rPr>
  </w:style>
  <w:style w:type="paragraph" w:customStyle="1" w:styleId="23">
    <w:name w:val="正文首行缩进两字符"/>
    <w:basedOn w:val="1"/>
    <w:qFormat/>
    <w:uiPriority w:val="0"/>
    <w:pPr>
      <w:spacing w:line="360" w:lineRule="auto"/>
      <w:ind w:firstLine="200" w:firstLineChars="200"/>
    </w:pPr>
  </w:style>
  <w:style w:type="character" w:customStyle="1" w:styleId="24">
    <w:name w:val="font21"/>
    <w:basedOn w:val="19"/>
    <w:qFormat/>
    <w:uiPriority w:val="0"/>
    <w:rPr>
      <w:rFonts w:ascii="Calibri" w:hAnsi="Calibri" w:cs="Calibri"/>
      <w:color w:val="000000"/>
      <w:sz w:val="18"/>
      <w:szCs w:val="18"/>
      <w:u w:val="none"/>
    </w:rPr>
  </w:style>
  <w:style w:type="character" w:customStyle="1" w:styleId="25">
    <w:name w:val="font01"/>
    <w:basedOn w:val="19"/>
    <w:qFormat/>
    <w:uiPriority w:val="0"/>
    <w:rPr>
      <w:rFonts w:hint="eastAsia" w:ascii="宋体" w:hAnsi="宋体" w:eastAsia="宋体" w:cs="宋体"/>
      <w:color w:val="000000"/>
      <w:sz w:val="18"/>
      <w:szCs w:val="18"/>
      <w:u w:val="none"/>
    </w:rPr>
  </w:style>
  <w:style w:type="paragraph" w:styleId="26">
    <w:name w:val="List Paragraph"/>
    <w:basedOn w:val="1"/>
    <w:qFormat/>
    <w:uiPriority w:val="34"/>
    <w:pPr>
      <w:ind w:firstLine="420" w:firstLineChars="200"/>
    </w:pPr>
    <w:rPr>
      <w:rFonts w:ascii="Calibri" w:hAnsi="Calibri" w:eastAsia="宋体" w:cs="Times New Roman"/>
      <w:sz w:val="21"/>
      <w:szCs w:val="22"/>
    </w:rPr>
  </w:style>
  <w:style w:type="paragraph" w:customStyle="1" w:styleId="27">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8">
    <w:name w:val="_Style 1"/>
    <w:basedOn w:val="1"/>
    <w:qFormat/>
    <w:uiPriority w:val="34"/>
    <w:pPr>
      <w:ind w:firstLine="420" w:firstLineChars="200"/>
    </w:pPr>
  </w:style>
  <w:style w:type="paragraph" w:customStyle="1" w:styleId="2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13</Pages>
  <Words>5539</Words>
  <Characters>5718</Characters>
  <Lines>0</Lines>
  <Paragraphs>0</Paragraphs>
  <TotalTime>0</TotalTime>
  <ScaleCrop>false</ScaleCrop>
  <LinksUpToDate>false</LinksUpToDate>
  <CharactersWithSpaces>5917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徐驰</cp:lastModifiedBy>
  <cp:lastPrinted>2019-09-23T08:20:00Z</cp:lastPrinted>
  <dcterms:modified xsi:type="dcterms:W3CDTF">2025-03-07T01:05:40Z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80E08B3370234C05891E4A8A8E2A77BA_13</vt:lpwstr>
  </property>
  <property fmtid="{D5CDD505-2E9C-101B-9397-08002B2CF9AE}" pid="4" name="KSOTemplateDocerSaveRecord">
    <vt:lpwstr>eyJoZGlkIjoiYWViN2VmZThjMzNiOWMyOWMxMTEwM2ZiOGYwYzY1NzgiLCJ1c2VySWQiOiI2MDAwMDI4NzcifQ==</vt:lpwstr>
  </property>
</Properties>
</file>