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color w:val="auto"/>
          <w:sz w:val="36"/>
          <w:szCs w:val="36"/>
          <w:highlight w:val="none"/>
          <w:lang w:eastAsia="zh-CN"/>
        </w:rPr>
      </w:pPr>
      <w:r>
        <w:rPr>
          <w:rFonts w:hint="eastAsia" w:ascii="黑体" w:hAnsi="黑体" w:eastAsia="黑体" w:cs="黑体"/>
          <w:color w:val="auto"/>
          <w:sz w:val="36"/>
          <w:szCs w:val="36"/>
          <w:highlight w:val="none"/>
          <w:lang w:eastAsia="zh-CN"/>
        </w:rPr>
        <w:t>第一章</w:t>
      </w:r>
      <w:r>
        <w:rPr>
          <w:rFonts w:hint="eastAsia" w:ascii="黑体" w:hAnsi="黑体" w:eastAsia="黑体" w:cs="黑体"/>
          <w:color w:val="auto"/>
          <w:sz w:val="36"/>
          <w:szCs w:val="36"/>
          <w:highlight w:val="none"/>
          <w:lang w:val="en-US" w:eastAsia="zh-CN"/>
        </w:rPr>
        <w:t xml:space="preserve">  </w:t>
      </w:r>
      <w:r>
        <w:rPr>
          <w:rFonts w:hint="eastAsia" w:ascii="黑体" w:hAnsi="黑体" w:eastAsia="黑体" w:cs="黑体"/>
          <w:color w:val="auto"/>
          <w:sz w:val="36"/>
          <w:szCs w:val="36"/>
          <w:highlight w:val="none"/>
          <w:lang w:eastAsia="zh-CN"/>
        </w:rPr>
        <w:t>乐山市五通桥区人民医院</w:t>
      </w:r>
    </w:p>
    <w:p>
      <w:pPr>
        <w:jc w:val="center"/>
        <w:rPr>
          <w:rFonts w:hint="eastAsia" w:ascii="黑体" w:hAnsi="黑体" w:eastAsia="黑体" w:cs="黑体"/>
          <w:color w:val="auto"/>
          <w:sz w:val="36"/>
          <w:szCs w:val="36"/>
          <w:highlight w:val="none"/>
          <w:lang w:eastAsia="zh-CN"/>
        </w:rPr>
      </w:pPr>
      <w:r>
        <w:rPr>
          <w:rFonts w:hint="eastAsia" w:ascii="黑体" w:hAnsi="黑体" w:eastAsia="黑体" w:cs="黑体"/>
          <w:color w:val="auto"/>
          <w:sz w:val="36"/>
          <w:szCs w:val="36"/>
          <w:highlight w:val="none"/>
          <w:lang w:val="en-US" w:eastAsia="zh-CN"/>
        </w:rPr>
        <w:t>新院区书吧家具</w:t>
      </w:r>
      <w:r>
        <w:rPr>
          <w:rFonts w:hint="eastAsia" w:ascii="黑体" w:hAnsi="黑体" w:eastAsia="黑体" w:cs="黑体"/>
          <w:color w:val="auto"/>
          <w:sz w:val="36"/>
          <w:szCs w:val="36"/>
          <w:highlight w:val="none"/>
          <w:lang w:eastAsia="zh-CN"/>
        </w:rPr>
        <w:t>院内采购公告</w:t>
      </w:r>
    </w:p>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rPr>
          <w:rFonts w:hint="eastAsia" w:ascii="黑体" w:hAnsi="黑体" w:eastAsia="黑体" w:cs="黑体"/>
          <w:color w:val="auto"/>
          <w:kern w:val="0"/>
          <w:sz w:val="28"/>
          <w:szCs w:val="28"/>
          <w:highlight w:val="none"/>
          <w:lang w:eastAsia="zh-CN"/>
        </w:rPr>
      </w:pPr>
    </w:p>
    <w:p>
      <w:pPr>
        <w:keepNext w:val="0"/>
        <w:keepLines w:val="0"/>
        <w:pageBreakBefore w:val="0"/>
        <w:widowControl/>
        <w:numPr>
          <w:ilvl w:val="0"/>
          <w:numId w:val="1"/>
        </w:numPr>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采购项目名称：新院区书吧家具</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1280" w:firstLineChars="400"/>
        <w:jc w:val="left"/>
        <w:textAlignment w:val="auto"/>
        <w:rPr>
          <w:rFonts w:hint="default"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eastAsia="zh-CN"/>
        </w:rPr>
        <w:t>项目采购编号：</w:t>
      </w:r>
      <w:r>
        <w:rPr>
          <w:rFonts w:hint="eastAsia" w:ascii="仿宋" w:hAnsi="仿宋" w:eastAsia="仿宋" w:cs="仿宋"/>
          <w:color w:val="auto"/>
          <w:kern w:val="0"/>
          <w:sz w:val="32"/>
          <w:szCs w:val="32"/>
          <w:highlight w:val="none"/>
          <w:lang w:val="en-US" w:eastAsia="zh-CN"/>
        </w:rPr>
        <w:t>YLJT2026008</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1280" w:firstLineChars="400"/>
        <w:jc w:val="lef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kern w:val="0"/>
          <w:sz w:val="32"/>
          <w:szCs w:val="32"/>
          <w:highlight w:val="none"/>
          <w:lang w:val="en-US" w:eastAsia="zh-CN"/>
        </w:rPr>
        <w:t xml:space="preserve">项目采购限价：5万元   </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1280" w:firstLineChars="4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采购项目内容（详细要求请看附件）：</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二、参加采购的供应商数量：三家及以上；在乐山市五通桥区人民医院官方网站上发布公告（https://www.wtqqrmyy.cn/）；本项目若有补遗或更正公告会在官网上发布，请参加采购的供应商随时关注；若因以上原因造成的损失由供应商自行负责。</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color w:val="auto"/>
          <w:kern w:val="0"/>
          <w:sz w:val="32"/>
          <w:szCs w:val="32"/>
          <w:highlight w:val="none"/>
          <w:lang w:eastAsia="zh-CN"/>
        </w:rPr>
      </w:pPr>
      <w:r>
        <w:rPr>
          <w:rFonts w:hint="eastAsia" w:ascii="仿宋" w:hAnsi="仿宋" w:eastAsia="仿宋" w:cs="仿宋"/>
          <w:color w:val="auto"/>
          <w:kern w:val="0"/>
          <w:sz w:val="32"/>
          <w:szCs w:val="32"/>
          <w:highlight w:val="none"/>
          <w:lang w:val="en-US" w:eastAsia="zh-CN"/>
        </w:rPr>
        <w:t>三</w:t>
      </w:r>
      <w:r>
        <w:rPr>
          <w:rFonts w:hint="eastAsia" w:ascii="仿宋" w:hAnsi="仿宋" w:eastAsia="仿宋" w:cs="仿宋"/>
          <w:color w:val="auto"/>
          <w:kern w:val="0"/>
          <w:sz w:val="32"/>
          <w:szCs w:val="32"/>
          <w:highlight w:val="none"/>
          <w:lang w:eastAsia="zh-CN"/>
        </w:rPr>
        <w:t>、供应商参加本次采购活动</w:t>
      </w:r>
      <w:r>
        <w:rPr>
          <w:rFonts w:hint="eastAsia" w:ascii="仿宋" w:hAnsi="仿宋" w:eastAsia="仿宋" w:cs="仿宋"/>
          <w:color w:val="auto"/>
          <w:kern w:val="0"/>
          <w:sz w:val="32"/>
          <w:szCs w:val="32"/>
          <w:highlight w:val="none"/>
          <w:lang w:val="en-US" w:eastAsia="zh-CN"/>
        </w:rPr>
        <w:t>需要</w:t>
      </w:r>
      <w:r>
        <w:rPr>
          <w:rFonts w:hint="eastAsia" w:ascii="仿宋" w:hAnsi="仿宋" w:eastAsia="仿宋" w:cs="仿宋"/>
          <w:color w:val="auto"/>
          <w:kern w:val="0"/>
          <w:sz w:val="32"/>
          <w:szCs w:val="32"/>
          <w:highlight w:val="none"/>
          <w:lang w:eastAsia="zh-CN"/>
        </w:rPr>
        <w:t>提交的资料：</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default"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1.潜在响应供应商可直接从本公告的附件中下载相关文件（如对文件有异议，应在本公告的有效时间电话询问或以书面提出合理质疑。公告到期后未收到书面质疑，视为潜在供应商认同文件的全部内容，采购中心不再受理响应供应商对采购公告或相关文件的质疑。</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default"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2.提交资料应按照采购文件中的承诺函、廉洁承诺书、采购资质要求、技术及商务要求提供2套。</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3.报价以及资料，采购响应文件封面请注明项目名称、联系人、联系电话、自行密封并加盖公章。</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4.请满足上述资质要求的供应商于2026年8月13日17:00之前将资料送至乐山市五通桥区人民医院采购中心（行政楼三楼），在截止时间以后送到的响应文件将被拒绝并退还给供应商。</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四、其他要求（参加采购的供应商视为全部接受以下条款）</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1.方案报价在30日内有效，报价包括供应商履约过程中的服务费、人工、差旅、保险、税金与供应商履约所需要的其他所有费用。</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2.在供应商满足相关资质要求及服务要求的条件下，采购采用综合评分法（一次报价），中标结果由医院网站公示，中标公司请在公示后30日内到采购办签订合同，超过公示后30日不响应签订合同的视为放弃中标资格，放弃中标资格或因不可抗力提出不能履行合同的，将按照排名先后顺序依次替补或重新招采。</w:t>
      </w:r>
    </w:p>
    <w:p>
      <w:pPr>
        <w:pStyle w:val="5"/>
        <w:spacing w:line="240" w:lineRule="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kern w:val="0"/>
          <w:sz w:val="32"/>
          <w:szCs w:val="32"/>
          <w:highlight w:val="none"/>
          <w:lang w:val="en-US" w:eastAsia="zh-CN"/>
        </w:rPr>
        <w:t xml:space="preserve">  3.本项目不接受联合体，不允许分包。</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rPr>
        <w:t>联系人:</w:t>
      </w:r>
      <w:r>
        <w:rPr>
          <w:rFonts w:hint="eastAsia" w:ascii="仿宋" w:hAnsi="仿宋" w:eastAsia="仿宋" w:cs="仿宋"/>
          <w:color w:val="auto"/>
          <w:kern w:val="0"/>
          <w:sz w:val="32"/>
          <w:szCs w:val="32"/>
          <w:highlight w:val="none"/>
          <w:lang w:val="en-US" w:eastAsia="zh-CN"/>
        </w:rPr>
        <w:t>李老师</w:t>
      </w:r>
      <w:r>
        <w:rPr>
          <w:rFonts w:hint="eastAsia" w:ascii="仿宋" w:hAnsi="仿宋" w:eastAsia="仿宋" w:cs="仿宋"/>
          <w:color w:val="auto"/>
          <w:kern w:val="0"/>
          <w:sz w:val="32"/>
          <w:szCs w:val="32"/>
          <w:highlight w:val="none"/>
        </w:rPr>
        <w:t xml:space="preserve"> </w:t>
      </w:r>
      <w:r>
        <w:rPr>
          <w:rFonts w:hint="eastAsia" w:ascii="仿宋" w:hAnsi="仿宋" w:eastAsia="仿宋" w:cs="仿宋"/>
          <w:color w:val="auto"/>
          <w:kern w:val="0"/>
          <w:sz w:val="32"/>
          <w:szCs w:val="32"/>
          <w:highlight w:val="none"/>
          <w:lang w:val="en-US" w:eastAsia="zh-CN"/>
        </w:rPr>
        <w:t xml:space="preserve">      </w:t>
      </w:r>
      <w:r>
        <w:rPr>
          <w:rFonts w:hint="eastAsia" w:ascii="仿宋" w:hAnsi="仿宋" w:eastAsia="仿宋" w:cs="仿宋"/>
          <w:color w:val="auto"/>
          <w:kern w:val="0"/>
          <w:sz w:val="32"/>
          <w:szCs w:val="32"/>
          <w:highlight w:val="none"/>
        </w:rPr>
        <w:t>联系电话:</w:t>
      </w:r>
      <w:r>
        <w:rPr>
          <w:rFonts w:hint="eastAsia" w:ascii="仿宋" w:hAnsi="仿宋" w:eastAsia="仿宋" w:cs="仿宋"/>
          <w:color w:val="auto"/>
          <w:kern w:val="0"/>
          <w:sz w:val="32"/>
          <w:szCs w:val="32"/>
          <w:highlight w:val="none"/>
          <w:lang w:val="en-US" w:eastAsia="zh-CN"/>
        </w:rPr>
        <w:t>0833-3189923</w:t>
      </w:r>
    </w:p>
    <w:p>
      <w:pPr>
        <w:jc w:val="center"/>
        <w:rPr>
          <w:rFonts w:hint="default" w:ascii="黑体" w:hAnsi="黑体" w:eastAsia="黑体" w:cs="黑体"/>
          <w:b/>
          <w:bCs/>
          <w:color w:val="auto"/>
          <w:sz w:val="72"/>
          <w:szCs w:val="72"/>
          <w:highlight w:val="none"/>
          <w:lang w:val="en-US" w:eastAsia="zh-CN"/>
        </w:rPr>
      </w:pPr>
      <w:r>
        <w:rPr>
          <w:rFonts w:hint="eastAsia" w:ascii="仿宋" w:hAnsi="仿宋" w:eastAsia="仿宋" w:cs="仿宋"/>
          <w:color w:val="auto"/>
          <w:kern w:val="0"/>
          <w:sz w:val="32"/>
          <w:szCs w:val="32"/>
          <w:highlight w:val="none"/>
          <w:lang w:val="en-US" w:eastAsia="zh-CN"/>
        </w:rPr>
        <w:t xml:space="preserve">                     </w:t>
      </w:r>
    </w:p>
    <w:p>
      <w:pPr>
        <w:pStyle w:val="6"/>
        <w:jc w:val="center"/>
        <w:rPr>
          <w:rFonts w:hint="eastAsia"/>
          <w:color w:val="auto"/>
          <w:highlight w:val="none"/>
          <w:lang w:eastAsia="zh-CN"/>
        </w:rPr>
      </w:pPr>
      <w:r>
        <w:rPr>
          <w:rFonts w:hint="eastAsia" w:ascii="黑体" w:hAnsi="黑体" w:eastAsia="黑体" w:cs="黑体"/>
          <w:b/>
          <w:color w:val="auto"/>
          <w:sz w:val="36"/>
          <w:szCs w:val="36"/>
          <w:highlight w:val="none"/>
          <w:lang w:eastAsia="zh-CN"/>
        </w:rPr>
        <w:t>第二章</w:t>
      </w:r>
      <w:r>
        <w:rPr>
          <w:rFonts w:hint="eastAsia" w:ascii="黑体" w:hAnsi="黑体" w:eastAsia="黑体" w:cs="黑体"/>
          <w:b/>
          <w:color w:val="auto"/>
          <w:sz w:val="36"/>
          <w:szCs w:val="36"/>
          <w:highlight w:val="none"/>
          <w:lang w:val="en-US" w:eastAsia="zh-CN"/>
        </w:rPr>
        <w:t xml:space="preserve">  </w:t>
      </w:r>
      <w:r>
        <w:rPr>
          <w:rFonts w:hint="eastAsia" w:ascii="黑体" w:hAnsi="黑体" w:eastAsia="黑体" w:cs="黑体"/>
          <w:b/>
          <w:color w:val="auto"/>
          <w:sz w:val="36"/>
          <w:szCs w:val="36"/>
          <w:highlight w:val="none"/>
          <w:lang w:eastAsia="zh-CN"/>
        </w:rPr>
        <w:t>采购须知</w:t>
      </w:r>
    </w:p>
    <w:p>
      <w:pPr>
        <w:pStyle w:val="31"/>
        <w:spacing w:line="240" w:lineRule="auto"/>
        <w:rPr>
          <w:rFonts w:hint="eastAsia"/>
          <w:color w:val="auto"/>
          <w:highlight w:val="none"/>
          <w:lang w:eastAsia="zh-CN"/>
        </w:rPr>
      </w:pPr>
    </w:p>
    <w:p>
      <w:pPr>
        <w:spacing w:line="240" w:lineRule="auto"/>
        <w:ind w:firstLine="643" w:firstLineChars="200"/>
        <w:rPr>
          <w:rFonts w:hint="eastAsia" w:ascii="仿宋" w:hAnsi="仿宋" w:eastAsia="仿宋" w:cs="仿宋"/>
          <w:b/>
          <w:color w:val="auto"/>
          <w:sz w:val="32"/>
          <w:szCs w:val="32"/>
          <w:highlight w:val="none"/>
          <w:lang w:eastAsia="zh-CN"/>
        </w:rPr>
      </w:pPr>
      <w:r>
        <w:rPr>
          <w:rFonts w:hint="eastAsia" w:ascii="仿宋" w:hAnsi="仿宋" w:eastAsia="仿宋" w:cs="仿宋"/>
          <w:b/>
          <w:color w:val="auto"/>
          <w:sz w:val="32"/>
          <w:szCs w:val="32"/>
          <w:highlight w:val="none"/>
          <w:lang w:eastAsia="zh-CN"/>
        </w:rPr>
        <w:t>一、院内采购总则</w:t>
      </w:r>
    </w:p>
    <w:p>
      <w:pPr>
        <w:spacing w:line="24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1</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本</w:t>
      </w:r>
      <w:r>
        <w:rPr>
          <w:rFonts w:hint="eastAsia" w:ascii="仿宋" w:hAnsi="仿宋" w:eastAsia="仿宋" w:cs="仿宋"/>
          <w:color w:val="auto"/>
          <w:sz w:val="32"/>
          <w:szCs w:val="32"/>
          <w:highlight w:val="none"/>
          <w:lang w:val="en-US" w:eastAsia="zh-CN"/>
        </w:rPr>
        <w:t>采购</w:t>
      </w:r>
      <w:r>
        <w:rPr>
          <w:rFonts w:hint="eastAsia" w:ascii="仿宋" w:hAnsi="仿宋" w:eastAsia="仿宋" w:cs="仿宋"/>
          <w:color w:val="auto"/>
          <w:sz w:val="32"/>
          <w:szCs w:val="32"/>
          <w:highlight w:val="none"/>
        </w:rPr>
        <w:t>项目参照《中华人民共和国政府采购法》《四川省政府采购非招标采购方式实施办法》等有关法律、法规和规章，通过</w:t>
      </w:r>
      <w:r>
        <w:rPr>
          <w:rFonts w:hint="eastAsia" w:ascii="仿宋" w:hAnsi="仿宋" w:eastAsia="仿宋" w:cs="仿宋"/>
          <w:color w:val="auto"/>
          <w:sz w:val="32"/>
          <w:szCs w:val="32"/>
          <w:highlight w:val="none"/>
          <w:lang w:val="en-US" w:eastAsia="zh-CN"/>
        </w:rPr>
        <w:t>综合评分</w:t>
      </w:r>
      <w:r>
        <w:rPr>
          <w:rFonts w:hint="eastAsia" w:ascii="仿宋" w:hAnsi="仿宋" w:eastAsia="仿宋" w:cs="仿宋"/>
          <w:color w:val="auto"/>
          <w:sz w:val="32"/>
          <w:szCs w:val="32"/>
          <w:highlight w:val="none"/>
          <w:lang w:val="en-US" w:eastAsia="zh-CN"/>
        </w:rPr>
        <w:t>的方式确定成交供应商。</w:t>
      </w:r>
    </w:p>
    <w:p>
      <w:pPr>
        <w:spacing w:line="24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本项目</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范围包括价格、质量、服务等方面内容，交货时间在合同中约定。</w:t>
      </w:r>
    </w:p>
    <w:p>
      <w:pPr>
        <w:spacing w:line="24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本采购项目最低要求：符合资质条件、技术参数及商务要求且报价不超过最高限价。</w:t>
      </w:r>
    </w:p>
    <w:p>
      <w:pPr>
        <w:numPr>
          <w:ilvl w:val="0"/>
          <w:numId w:val="0"/>
        </w:numPr>
        <w:spacing w:line="24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供应商自行承担本项目</w:t>
      </w:r>
      <w:r>
        <w:rPr>
          <w:rFonts w:hint="eastAsia" w:ascii="仿宋" w:hAnsi="仿宋" w:eastAsia="仿宋" w:cs="仿宋"/>
          <w:color w:val="auto"/>
          <w:sz w:val="32"/>
          <w:szCs w:val="32"/>
          <w:highlight w:val="none"/>
          <w:lang w:val="en-US" w:eastAsia="zh-CN"/>
        </w:rPr>
        <w:t>采购</w:t>
      </w:r>
      <w:r>
        <w:rPr>
          <w:rFonts w:hint="eastAsia" w:ascii="仿宋" w:hAnsi="仿宋" w:eastAsia="仿宋" w:cs="仿宋"/>
          <w:color w:val="auto"/>
          <w:sz w:val="32"/>
          <w:szCs w:val="32"/>
          <w:highlight w:val="none"/>
        </w:rPr>
        <w:t>活动所发生</w:t>
      </w:r>
      <w:r>
        <w:rPr>
          <w:rFonts w:hint="eastAsia" w:ascii="仿宋" w:hAnsi="仿宋" w:eastAsia="仿宋" w:cs="仿宋"/>
          <w:color w:val="auto"/>
          <w:sz w:val="32"/>
          <w:szCs w:val="32"/>
          <w:highlight w:val="none"/>
          <w:lang w:eastAsia="zh-CN"/>
        </w:rPr>
        <w:t>现场踏勘、标书制作等</w:t>
      </w:r>
      <w:r>
        <w:rPr>
          <w:rFonts w:hint="eastAsia" w:ascii="仿宋" w:hAnsi="仿宋" w:eastAsia="仿宋" w:cs="仿宋"/>
          <w:color w:val="auto"/>
          <w:sz w:val="32"/>
          <w:szCs w:val="32"/>
          <w:highlight w:val="none"/>
        </w:rPr>
        <w:t>费用。</w:t>
      </w:r>
    </w:p>
    <w:p>
      <w:pPr>
        <w:spacing w:line="240" w:lineRule="auto"/>
        <w:ind w:firstLine="643" w:firstLineChars="200"/>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二、</w:t>
      </w:r>
      <w:r>
        <w:rPr>
          <w:rFonts w:hint="eastAsia" w:ascii="仿宋" w:hAnsi="仿宋" w:eastAsia="仿宋" w:cs="仿宋"/>
          <w:b/>
          <w:bCs/>
          <w:color w:val="auto"/>
          <w:sz w:val="32"/>
          <w:szCs w:val="32"/>
          <w:highlight w:val="none"/>
          <w:lang w:eastAsia="zh-CN"/>
        </w:rPr>
        <w:t>采购</w:t>
      </w:r>
      <w:r>
        <w:rPr>
          <w:rFonts w:hint="eastAsia" w:ascii="仿宋" w:hAnsi="仿宋" w:eastAsia="仿宋" w:cs="仿宋"/>
          <w:b/>
          <w:bCs/>
          <w:color w:val="auto"/>
          <w:sz w:val="32"/>
          <w:szCs w:val="32"/>
          <w:highlight w:val="none"/>
        </w:rPr>
        <w:t>响应文件的编制</w:t>
      </w:r>
    </w:p>
    <w:p>
      <w:pPr>
        <w:spacing w:line="24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响应文件的密封：须提供标书一份，密封于一个包装袋内，封口处加盖单位鲜章，封面须注明：“项目名称：        ”，“项目编号：     ”，“于   年  月  日  时  分前不得拆封”等字样。未按询价文件要求密封的响应文件将被拒收。</w:t>
      </w:r>
    </w:p>
    <w:p>
      <w:pPr>
        <w:spacing w:line="240" w:lineRule="auto"/>
        <w:ind w:firstLine="640" w:firstLineChars="200"/>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响应文件</w:t>
      </w:r>
      <w:r>
        <w:rPr>
          <w:rFonts w:hint="eastAsia" w:ascii="仿宋" w:hAnsi="仿宋" w:eastAsia="仿宋" w:cs="仿宋"/>
          <w:color w:val="auto"/>
          <w:sz w:val="32"/>
          <w:szCs w:val="32"/>
          <w:highlight w:val="none"/>
          <w:lang w:eastAsia="zh-CN"/>
        </w:rPr>
        <w:t>分正（副）本装订</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一正</w:t>
      </w:r>
      <w:r>
        <w:rPr>
          <w:rFonts w:hint="eastAsia" w:ascii="仿宋" w:hAnsi="仿宋" w:eastAsia="仿宋" w:cs="仿宋"/>
          <w:color w:val="auto"/>
          <w:sz w:val="32"/>
          <w:szCs w:val="32"/>
          <w:highlight w:val="none"/>
          <w:lang w:val="en-US" w:eastAsia="zh-Hans"/>
        </w:rPr>
        <w:t>一</w:t>
      </w:r>
      <w:r>
        <w:rPr>
          <w:rFonts w:hint="eastAsia" w:ascii="仿宋" w:hAnsi="仿宋" w:eastAsia="仿宋" w:cs="仿宋"/>
          <w:color w:val="auto"/>
          <w:sz w:val="32"/>
          <w:szCs w:val="32"/>
          <w:highlight w:val="none"/>
          <w:lang w:eastAsia="zh-CN"/>
        </w:rPr>
        <w:t>副，</w:t>
      </w:r>
      <w:r>
        <w:rPr>
          <w:rFonts w:hint="eastAsia" w:ascii="仿宋" w:hAnsi="仿宋" w:eastAsia="仿宋" w:cs="仿宋"/>
          <w:color w:val="auto"/>
          <w:sz w:val="32"/>
          <w:szCs w:val="32"/>
          <w:highlight w:val="none"/>
        </w:rPr>
        <w:t>须用A4幅面纸张打印装订</w:t>
      </w:r>
      <w:r>
        <w:rPr>
          <w:rFonts w:hint="eastAsia" w:ascii="仿宋" w:hAnsi="仿宋" w:eastAsia="仿宋" w:cs="仿宋"/>
          <w:color w:val="auto"/>
          <w:sz w:val="32"/>
          <w:szCs w:val="32"/>
          <w:highlight w:val="none"/>
          <w:lang w:eastAsia="zh-CN"/>
        </w:rPr>
        <w:t>。</w:t>
      </w:r>
    </w:p>
    <w:p>
      <w:pPr>
        <w:spacing w:line="240" w:lineRule="auto"/>
        <w:ind w:firstLine="640" w:firstLineChars="200"/>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响应文件的打印和书写应清楚工整，签字确认并加盖公章，否则无效。供应商为法人的，应当由其法定代表人或者代理人签字确认。</w:t>
      </w:r>
    </w:p>
    <w:p>
      <w:pPr>
        <w:spacing w:line="240" w:lineRule="auto"/>
        <w:ind w:firstLine="643" w:firstLineChars="200"/>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eastAsia="zh-CN"/>
        </w:rPr>
        <w:t>三</w:t>
      </w:r>
      <w:r>
        <w:rPr>
          <w:rFonts w:hint="eastAsia" w:ascii="仿宋" w:hAnsi="仿宋" w:eastAsia="仿宋" w:cs="仿宋"/>
          <w:b/>
          <w:bCs/>
          <w:color w:val="auto"/>
          <w:sz w:val="32"/>
          <w:szCs w:val="32"/>
          <w:highlight w:val="none"/>
        </w:rPr>
        <w:t>、</w:t>
      </w:r>
      <w:r>
        <w:rPr>
          <w:rFonts w:hint="eastAsia" w:ascii="仿宋" w:hAnsi="仿宋" w:eastAsia="仿宋" w:cs="仿宋"/>
          <w:b/>
          <w:bCs/>
          <w:color w:val="auto"/>
          <w:sz w:val="32"/>
          <w:szCs w:val="32"/>
          <w:highlight w:val="none"/>
          <w:lang w:eastAsia="zh-CN"/>
        </w:rPr>
        <w:t>院内采购</w:t>
      </w:r>
      <w:r>
        <w:rPr>
          <w:rFonts w:hint="eastAsia" w:ascii="仿宋" w:hAnsi="仿宋" w:eastAsia="仿宋" w:cs="仿宋"/>
          <w:b/>
          <w:bCs/>
          <w:color w:val="auto"/>
          <w:sz w:val="32"/>
          <w:szCs w:val="32"/>
          <w:highlight w:val="none"/>
        </w:rPr>
        <w:t>会议的召开</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b/>
          <w:color w:val="auto"/>
          <w:sz w:val="32"/>
          <w:szCs w:val="32"/>
          <w:highlight w:val="none"/>
        </w:rPr>
        <w:t xml:space="preserve">  </w:t>
      </w:r>
      <w:r>
        <w:rPr>
          <w:rFonts w:hint="eastAsia" w:ascii="仿宋" w:hAnsi="仿宋" w:eastAsia="仿宋" w:cs="仿宋"/>
          <w:b/>
          <w:color w:val="auto"/>
          <w:sz w:val="32"/>
          <w:szCs w:val="32"/>
          <w:highlight w:val="none"/>
          <w:lang w:val="en-US" w:eastAsia="zh-CN"/>
        </w:rPr>
        <w:t xml:space="preserve">  </w:t>
      </w:r>
      <w:r>
        <w:rPr>
          <w:rFonts w:hint="eastAsia" w:ascii="仿宋" w:hAnsi="仿宋" w:eastAsia="仿宋" w:cs="仿宋"/>
          <w:color w:val="auto"/>
          <w:sz w:val="32"/>
          <w:szCs w:val="32"/>
          <w:highlight w:val="none"/>
          <w:lang w:eastAsia="zh-CN"/>
        </w:rPr>
        <w:t>院内采购</w:t>
      </w:r>
      <w:r>
        <w:rPr>
          <w:rFonts w:hint="eastAsia" w:ascii="仿宋" w:hAnsi="仿宋" w:eastAsia="仿宋" w:cs="仿宋"/>
          <w:color w:val="auto"/>
          <w:sz w:val="32"/>
          <w:szCs w:val="32"/>
          <w:highlight w:val="none"/>
        </w:rPr>
        <w:t>会议顺序:</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lang w:eastAsia="zh-CN"/>
        </w:rPr>
        <w:t>院内采购</w:t>
      </w:r>
      <w:r>
        <w:rPr>
          <w:rFonts w:hint="eastAsia" w:ascii="仿宋" w:hAnsi="仿宋" w:eastAsia="仿宋" w:cs="仿宋"/>
          <w:color w:val="auto"/>
          <w:sz w:val="32"/>
          <w:szCs w:val="32"/>
          <w:highlight w:val="none"/>
        </w:rPr>
        <w:t>由</w:t>
      </w:r>
      <w:r>
        <w:rPr>
          <w:rFonts w:hint="eastAsia" w:ascii="仿宋" w:hAnsi="仿宋" w:eastAsia="仿宋" w:cs="仿宋"/>
          <w:color w:val="auto"/>
          <w:sz w:val="32"/>
          <w:szCs w:val="32"/>
          <w:highlight w:val="none"/>
          <w:lang w:eastAsia="zh-CN"/>
        </w:rPr>
        <w:t>采购办</w:t>
      </w:r>
      <w:r>
        <w:rPr>
          <w:rFonts w:hint="eastAsia" w:ascii="仿宋" w:hAnsi="仿宋" w:eastAsia="仿宋" w:cs="仿宋"/>
          <w:color w:val="auto"/>
          <w:sz w:val="32"/>
          <w:szCs w:val="32"/>
          <w:highlight w:val="none"/>
        </w:rPr>
        <w:t>主持；</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由监督人员检查</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响应文件密封情况；</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将符合密封要求的资格、技术商务、报价</w:t>
      </w:r>
      <w:r>
        <w:rPr>
          <w:rFonts w:hint="eastAsia" w:ascii="仿宋" w:hAnsi="仿宋" w:eastAsia="仿宋" w:cs="仿宋"/>
          <w:color w:val="auto"/>
          <w:sz w:val="32"/>
          <w:szCs w:val="32"/>
          <w:highlight w:val="none"/>
          <w:lang w:val="en-US" w:eastAsia="zh-CN"/>
        </w:rPr>
        <w:t>响应</w:t>
      </w:r>
      <w:r>
        <w:rPr>
          <w:rFonts w:hint="eastAsia" w:ascii="仿宋" w:hAnsi="仿宋" w:eastAsia="仿宋" w:cs="仿宋"/>
          <w:color w:val="auto"/>
          <w:sz w:val="32"/>
          <w:szCs w:val="32"/>
          <w:highlight w:val="none"/>
        </w:rPr>
        <w:t>文件送</w:t>
      </w:r>
      <w:r>
        <w:rPr>
          <w:rFonts w:hint="eastAsia" w:ascii="仿宋" w:hAnsi="仿宋" w:eastAsia="仿宋" w:cs="仿宋"/>
          <w:color w:val="auto"/>
          <w:sz w:val="32"/>
          <w:szCs w:val="32"/>
          <w:highlight w:val="none"/>
          <w:lang w:eastAsia="zh-CN"/>
        </w:rPr>
        <w:t>评审</w:t>
      </w:r>
      <w:r>
        <w:rPr>
          <w:rFonts w:hint="eastAsia" w:ascii="仿宋" w:hAnsi="仿宋" w:eastAsia="仿宋" w:cs="仿宋"/>
          <w:color w:val="auto"/>
          <w:sz w:val="32"/>
          <w:szCs w:val="32"/>
          <w:highlight w:val="none"/>
        </w:rPr>
        <w:t>小组评审；</w:t>
      </w:r>
    </w:p>
    <w:p>
      <w:pPr>
        <w:pStyle w:val="9"/>
        <w:spacing w:line="240" w:lineRule="auto"/>
        <w:ind w:left="0" w:leftChars="0" w:firstLine="640" w:firstLineChars="200"/>
        <w:rPr>
          <w:rFonts w:hint="eastAsia" w:ascii="仿宋" w:hAnsi="仿宋" w:eastAsia="仿宋" w:cs="仿宋"/>
          <w:color w:val="auto"/>
          <w:sz w:val="32"/>
          <w:szCs w:val="32"/>
          <w:highlight w:val="none"/>
          <w:shd w:val="clear" w:color="auto" w:fill="auto"/>
        </w:rPr>
      </w:pP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结束后，由</w:t>
      </w:r>
      <w:r>
        <w:rPr>
          <w:rFonts w:hint="eastAsia" w:ascii="仿宋" w:hAnsi="仿宋" w:eastAsia="仿宋" w:cs="仿宋"/>
          <w:color w:val="auto"/>
          <w:sz w:val="32"/>
          <w:szCs w:val="32"/>
          <w:highlight w:val="none"/>
          <w:lang w:eastAsia="zh-CN"/>
        </w:rPr>
        <w:t>评审小组根据报价情况</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shd w:val="clear" w:color="auto" w:fill="auto"/>
        </w:rPr>
        <w:t>推荐成交候选供应商。</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3" w:firstLineChars="200"/>
        <w:jc w:val="both"/>
        <w:textAlignment w:val="auto"/>
        <w:outlineLvl w:val="9"/>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eastAsia="zh-CN"/>
        </w:rPr>
        <w:t>四</w:t>
      </w:r>
      <w:r>
        <w:rPr>
          <w:rFonts w:hint="eastAsia" w:ascii="仿宋" w:hAnsi="仿宋" w:eastAsia="仿宋" w:cs="仿宋"/>
          <w:b/>
          <w:bCs/>
          <w:color w:val="auto"/>
          <w:sz w:val="32"/>
          <w:szCs w:val="32"/>
          <w:highlight w:val="none"/>
        </w:rPr>
        <w:t>、质疑提出与答复</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供应商对采购文件中资格、技术、商务要求以及对采购文件编制、采购程序的询问或质疑，可以电话进行询问或以书面形式实名签字盖章在递交院内采购文件截止时间前一日之前向采购办提出，并由采购办进行统一回复。供应商在3个工作日内应一次性提出针对同一采购程序环节的质疑。质疑采取书面形式，质疑函原件采取当面递交采购办。受理日期则以采购办收到质疑函原件之日计算。</w:t>
      </w:r>
      <w:r>
        <w:rPr>
          <w:rFonts w:hint="eastAsia" w:ascii="仿宋" w:hAnsi="仿宋" w:eastAsia="仿宋" w:cs="仿宋"/>
          <w:color w:val="auto"/>
          <w:sz w:val="32"/>
          <w:szCs w:val="32"/>
          <w:highlight w:val="none"/>
          <w:lang w:val="zh-CN" w:eastAsia="zh-CN"/>
        </w:rPr>
        <w:t>受理联系人及联系方式见公告</w:t>
      </w:r>
      <w:r>
        <w:rPr>
          <w:rFonts w:hint="eastAsia" w:ascii="仿宋" w:hAnsi="仿宋" w:eastAsia="仿宋" w:cs="仿宋"/>
          <w:color w:val="auto"/>
          <w:sz w:val="32"/>
          <w:szCs w:val="32"/>
          <w:highlight w:val="none"/>
          <w:lang w:val="en-US" w:eastAsia="zh-CN"/>
        </w:rPr>
        <w:t>采购办</w:t>
      </w:r>
      <w:r>
        <w:rPr>
          <w:rFonts w:hint="eastAsia" w:ascii="仿宋" w:hAnsi="仿宋" w:eastAsia="仿宋" w:cs="仿宋"/>
          <w:color w:val="auto"/>
          <w:sz w:val="32"/>
          <w:szCs w:val="32"/>
          <w:highlight w:val="none"/>
          <w:lang w:val="zh-CN" w:eastAsia="zh-CN"/>
        </w:rPr>
        <w:t>联系人。</w:t>
      </w:r>
    </w:p>
    <w:p>
      <w:pPr>
        <w:spacing w:line="240" w:lineRule="auto"/>
        <w:rPr>
          <w:rFonts w:hint="eastAsia" w:ascii="黑体" w:hAnsi="黑体" w:eastAsia="黑体" w:cs="黑体"/>
          <w:b/>
          <w:bCs/>
          <w:color w:val="auto"/>
          <w:sz w:val="44"/>
          <w:szCs w:val="44"/>
          <w:highlight w:val="none"/>
          <w:lang w:eastAsia="zh-CN"/>
        </w:rPr>
      </w:pPr>
      <w:r>
        <w:rPr>
          <w:rFonts w:hint="eastAsia" w:ascii="黑体" w:hAnsi="黑体" w:eastAsia="黑体" w:cs="黑体"/>
          <w:b/>
          <w:bCs/>
          <w:color w:val="auto"/>
          <w:sz w:val="44"/>
          <w:szCs w:val="44"/>
          <w:highlight w:val="none"/>
          <w:lang w:eastAsia="zh-CN"/>
        </w:rPr>
        <w:br w:type="page"/>
      </w:r>
    </w:p>
    <w:p>
      <w:pPr>
        <w:pageBreakBefore w:val="0"/>
        <w:kinsoku/>
        <w:wordWrap/>
        <w:overflowPunct/>
        <w:topLinePunct w:val="0"/>
        <w:autoSpaceDE/>
        <w:autoSpaceDN/>
        <w:bidi w:val="0"/>
        <w:spacing w:line="360" w:lineRule="exact"/>
        <w:jc w:val="center"/>
        <w:outlineLvl w:val="0"/>
        <w:rPr>
          <w:rFonts w:hint="eastAsia" w:ascii="黑体" w:hAnsi="黑体" w:eastAsia="黑体" w:cs="黑体"/>
          <w:color w:val="auto"/>
          <w:sz w:val="36"/>
          <w:szCs w:val="36"/>
          <w:highlight w:val="none"/>
        </w:rPr>
      </w:pPr>
      <w:r>
        <w:rPr>
          <w:rFonts w:hint="eastAsia" w:ascii="黑体" w:hAnsi="黑体" w:eastAsia="黑体" w:cs="黑体"/>
          <w:b/>
          <w:color w:val="auto"/>
          <w:sz w:val="36"/>
          <w:szCs w:val="36"/>
          <w:highlight w:val="none"/>
        </w:rPr>
        <w:t xml:space="preserve">第三章  </w:t>
      </w:r>
      <w:r>
        <w:rPr>
          <w:rFonts w:hint="eastAsia" w:ascii="黑体" w:hAnsi="黑体" w:eastAsia="黑体" w:cs="黑体"/>
          <w:b/>
          <w:color w:val="auto"/>
          <w:sz w:val="36"/>
          <w:szCs w:val="36"/>
          <w:highlight w:val="none"/>
          <w:lang w:eastAsia="zh-CN"/>
        </w:rPr>
        <w:t>采购</w:t>
      </w:r>
      <w:r>
        <w:rPr>
          <w:rFonts w:hint="eastAsia" w:ascii="黑体" w:hAnsi="黑体" w:eastAsia="黑体" w:cs="黑体"/>
          <w:b/>
          <w:color w:val="auto"/>
          <w:sz w:val="36"/>
          <w:szCs w:val="36"/>
          <w:highlight w:val="none"/>
        </w:rPr>
        <w:t>程序和成交标准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采购办</w:t>
      </w:r>
      <w:r>
        <w:rPr>
          <w:rFonts w:hint="eastAsia" w:ascii="仿宋" w:hAnsi="仿宋" w:eastAsia="仿宋" w:cs="仿宋"/>
          <w:color w:val="auto"/>
          <w:sz w:val="32"/>
          <w:szCs w:val="32"/>
          <w:highlight w:val="none"/>
        </w:rPr>
        <w:t>将根据</w:t>
      </w:r>
      <w:r>
        <w:rPr>
          <w:rFonts w:hint="eastAsia" w:ascii="仿宋" w:hAnsi="仿宋" w:eastAsia="仿宋" w:cs="仿宋"/>
          <w:color w:val="auto"/>
          <w:sz w:val="32"/>
          <w:szCs w:val="32"/>
          <w:highlight w:val="none"/>
          <w:lang w:eastAsia="zh-CN"/>
        </w:rPr>
        <w:t>采购邀请</w:t>
      </w:r>
      <w:r>
        <w:rPr>
          <w:rFonts w:hint="eastAsia" w:ascii="仿宋" w:hAnsi="仿宋" w:eastAsia="仿宋" w:cs="仿宋"/>
          <w:color w:val="auto"/>
          <w:sz w:val="32"/>
          <w:szCs w:val="32"/>
          <w:highlight w:val="none"/>
        </w:rPr>
        <w:t>中规定的递交文件截止时间前接受供应商响应文件，并按以下程序组织</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一、组织</w:t>
      </w:r>
      <w:r>
        <w:rPr>
          <w:rFonts w:hint="eastAsia" w:ascii="仿宋" w:hAnsi="仿宋" w:eastAsia="仿宋" w:cs="仿宋"/>
          <w:color w:val="auto"/>
          <w:sz w:val="32"/>
          <w:szCs w:val="32"/>
          <w:highlight w:val="none"/>
          <w:lang w:eastAsia="zh-CN"/>
        </w:rPr>
        <w:t>采购评审</w:t>
      </w:r>
      <w:r>
        <w:rPr>
          <w:rFonts w:hint="eastAsia" w:ascii="仿宋" w:hAnsi="仿宋" w:eastAsia="仿宋" w:cs="仿宋"/>
          <w:color w:val="auto"/>
          <w:sz w:val="32"/>
          <w:szCs w:val="32"/>
          <w:highlight w:val="none"/>
        </w:rPr>
        <w:t>对供应商递交的响应文件进行资格审查和符合性审查。</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二、通过资格审查和符合性审查供应商数量不足三家的，本次采购活动终止。</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出现但不限于下列情况之一的，其响应文件将被视为无效文件不予通过资格审查和符合性审查：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资格不符合要求的；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响应文件未实质性响应</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文件要求的；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响应文件无法定代表人签字，或签字人未被法定代表人授权的</w:t>
      </w:r>
      <w:r>
        <w:rPr>
          <w:rFonts w:hint="eastAsia" w:ascii="仿宋" w:hAnsi="仿宋" w:eastAsia="仿宋" w:cs="仿宋"/>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所报总价超出项目预算且无法支付的；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kern w:val="0"/>
          <w:sz w:val="32"/>
          <w:szCs w:val="32"/>
          <w:highlight w:val="none"/>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不同</w:t>
      </w:r>
      <w:r>
        <w:rPr>
          <w:rFonts w:hint="eastAsia" w:ascii="仿宋" w:hAnsi="仿宋" w:eastAsia="仿宋" w:cs="仿宋"/>
          <w:color w:val="auto"/>
          <w:kern w:val="0"/>
          <w:sz w:val="32"/>
          <w:szCs w:val="32"/>
          <w:highlight w:val="none"/>
        </w:rPr>
        <w:t>供应商负责人为同一人或者存在直接控股、管理关系的；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6.</w:t>
      </w:r>
      <w:r>
        <w:rPr>
          <w:rFonts w:hint="eastAsia" w:ascii="仿宋" w:hAnsi="仿宋" w:eastAsia="仿宋" w:cs="仿宋"/>
          <w:color w:val="auto"/>
          <w:sz w:val="32"/>
          <w:szCs w:val="32"/>
          <w:highlight w:val="none"/>
          <w:lang w:eastAsia="zh-CN"/>
        </w:rPr>
        <w:t>负偏离。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三、</w:t>
      </w:r>
      <w:r>
        <w:rPr>
          <w:rFonts w:hint="eastAsia" w:ascii="仿宋" w:hAnsi="仿宋" w:eastAsia="仿宋" w:cs="仿宋"/>
          <w:color w:val="auto"/>
          <w:sz w:val="32"/>
          <w:szCs w:val="32"/>
          <w:highlight w:val="none"/>
        </w:rPr>
        <w:t>在</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中，</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的任何一方不得透露与</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有关的其他供应商的技术资料、价格和其他信息。</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轮次一般为一轮（评审</w:t>
      </w:r>
      <w:r>
        <w:rPr>
          <w:rFonts w:hint="eastAsia" w:ascii="仿宋" w:hAnsi="仿宋" w:eastAsia="仿宋" w:cs="仿宋"/>
          <w:color w:val="auto"/>
          <w:sz w:val="32"/>
          <w:szCs w:val="32"/>
          <w:highlight w:val="none"/>
          <w:lang w:eastAsia="zh-CN"/>
        </w:rPr>
        <w:t>小组</w:t>
      </w:r>
      <w:r>
        <w:rPr>
          <w:rFonts w:hint="eastAsia" w:ascii="仿宋" w:hAnsi="仿宋" w:eastAsia="仿宋" w:cs="仿宋"/>
          <w:color w:val="auto"/>
          <w:sz w:val="32"/>
          <w:szCs w:val="32"/>
          <w:highlight w:val="none"/>
        </w:rPr>
        <w:t>可根据</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情况调整轮次）。如供应商在</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过程中存在违法、违纪行为，</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将不允许其参加最后报价。</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结束后，</w:t>
      </w:r>
      <w:r>
        <w:rPr>
          <w:rFonts w:hint="eastAsia" w:ascii="仿宋" w:hAnsi="仿宋" w:eastAsia="仿宋" w:cs="仿宋"/>
          <w:color w:val="auto"/>
          <w:sz w:val="32"/>
          <w:szCs w:val="32"/>
          <w:highlight w:val="none"/>
          <w:lang w:eastAsia="zh-CN"/>
        </w:rPr>
        <w:t>评审小组要求供应商现场进行</w:t>
      </w:r>
      <w:r>
        <w:rPr>
          <w:rFonts w:hint="eastAsia" w:ascii="仿宋" w:hAnsi="仿宋" w:eastAsia="仿宋" w:cs="仿宋"/>
          <w:color w:val="auto"/>
          <w:sz w:val="32"/>
          <w:szCs w:val="32"/>
          <w:highlight w:val="none"/>
        </w:rPr>
        <w:t>最终报价</w:t>
      </w:r>
      <w:r>
        <w:rPr>
          <w:rFonts w:hint="eastAsia" w:ascii="仿宋" w:hAnsi="仿宋" w:eastAsia="仿宋" w:cs="仿宋"/>
          <w:color w:val="auto"/>
          <w:sz w:val="32"/>
          <w:szCs w:val="32"/>
          <w:highlight w:val="none"/>
          <w:lang w:eastAsia="zh-CN"/>
        </w:rPr>
        <w:t>填报后</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根据符合采购需求、质量和服务相等</w:t>
      </w:r>
      <w:r>
        <w:rPr>
          <w:rFonts w:hint="eastAsia" w:ascii="仿宋" w:hAnsi="仿宋" w:eastAsia="仿宋" w:cs="仿宋"/>
          <w:color w:val="auto"/>
          <w:sz w:val="32"/>
          <w:szCs w:val="32"/>
          <w:highlight w:val="none"/>
          <w:lang w:val="en-US" w:eastAsia="zh-CN"/>
        </w:rPr>
        <w:t>且综合评分最高</w:t>
      </w:r>
      <w:r>
        <w:rPr>
          <w:rFonts w:hint="eastAsia" w:ascii="仿宋" w:hAnsi="仿宋" w:eastAsia="仿宋" w:cs="仿宋"/>
          <w:color w:val="auto"/>
          <w:sz w:val="32"/>
          <w:szCs w:val="32"/>
          <w:highlight w:val="none"/>
          <w:lang w:val="en-US" w:eastAsia="zh-CN"/>
        </w:rPr>
        <w:t>的原</w:t>
      </w:r>
      <w:r>
        <w:rPr>
          <w:rFonts w:hint="eastAsia" w:ascii="仿宋" w:hAnsi="仿宋" w:eastAsia="仿宋" w:cs="仿宋"/>
          <w:color w:val="auto"/>
          <w:sz w:val="32"/>
          <w:szCs w:val="32"/>
          <w:highlight w:val="none"/>
        </w:rPr>
        <w:t>则推荐成交候选供应商，由采购人授权</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确认成交供应商，</w:t>
      </w:r>
      <w:r>
        <w:rPr>
          <w:rFonts w:hint="eastAsia" w:ascii="仿宋" w:hAnsi="仿宋" w:eastAsia="仿宋" w:cs="仿宋"/>
          <w:color w:val="auto"/>
          <w:sz w:val="32"/>
          <w:szCs w:val="32"/>
          <w:highlight w:val="none"/>
          <w:lang w:eastAsia="zh-CN"/>
        </w:rPr>
        <w:t>采购办</w:t>
      </w:r>
      <w:r>
        <w:rPr>
          <w:rFonts w:hint="eastAsia" w:ascii="仿宋" w:hAnsi="仿宋" w:eastAsia="仿宋" w:cs="仿宋"/>
          <w:color w:val="auto"/>
          <w:sz w:val="32"/>
          <w:szCs w:val="32"/>
          <w:highlight w:val="none"/>
        </w:rPr>
        <w:t>于</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个工作日内在</w:t>
      </w:r>
      <w:r>
        <w:rPr>
          <w:rFonts w:hint="eastAsia" w:ascii="仿宋" w:hAnsi="仿宋" w:eastAsia="仿宋" w:cs="仿宋"/>
          <w:color w:val="auto"/>
          <w:sz w:val="32"/>
          <w:szCs w:val="32"/>
          <w:highlight w:val="none"/>
          <w:lang w:eastAsia="zh-CN"/>
        </w:rPr>
        <w:t>乐山市五通桥区人民医院</w:t>
      </w:r>
      <w:r>
        <w:rPr>
          <w:rFonts w:hint="eastAsia" w:ascii="仿宋" w:hAnsi="仿宋" w:eastAsia="仿宋" w:cs="仿宋"/>
          <w:color w:val="auto"/>
          <w:sz w:val="32"/>
          <w:szCs w:val="32"/>
          <w:highlight w:val="none"/>
          <w:lang w:val="en-US" w:eastAsia="zh-CN"/>
        </w:rPr>
        <w:t>网</w:t>
      </w:r>
      <w:r>
        <w:rPr>
          <w:rFonts w:hint="eastAsia" w:ascii="仿宋" w:hAnsi="仿宋" w:eastAsia="仿宋" w:cs="仿宋"/>
          <w:color w:val="auto"/>
          <w:sz w:val="32"/>
          <w:szCs w:val="32"/>
          <w:highlight w:val="none"/>
        </w:rPr>
        <w:t>上公告成交结果。</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四、成交标准</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按</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最终报价为依据（未组织</w:t>
      </w:r>
      <w:r>
        <w:rPr>
          <w:rFonts w:hint="eastAsia" w:ascii="仿宋" w:hAnsi="仿宋" w:eastAsia="仿宋" w:cs="仿宋"/>
          <w:color w:val="auto"/>
          <w:sz w:val="32"/>
          <w:szCs w:val="32"/>
          <w:highlight w:val="none"/>
          <w:lang w:val="en-US" w:eastAsia="zh-CN"/>
        </w:rPr>
        <w:t>二次报价的，以报价响应文件中的报价为依据），体现满足采购项目要求,且综合评分最高</w:t>
      </w:r>
      <w:r>
        <w:rPr>
          <w:rFonts w:hint="eastAsia" w:ascii="仿宋" w:hAnsi="仿宋" w:eastAsia="仿宋" w:cs="仿宋"/>
          <w:color w:val="auto"/>
          <w:sz w:val="32"/>
          <w:szCs w:val="32"/>
          <w:highlight w:val="none"/>
          <w:lang w:val="en-US" w:eastAsia="zh-CN"/>
        </w:rPr>
        <w:t>原则确定成交供应商。</w:t>
      </w:r>
    </w:p>
    <w:p>
      <w:pPr>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采用最低</w:t>
      </w:r>
      <w:r>
        <w:rPr>
          <w:rFonts w:hint="eastAsia" w:ascii="仿宋" w:hAnsi="仿宋" w:eastAsia="仿宋" w:cs="仿宋"/>
          <w:color w:val="auto"/>
          <w:sz w:val="32"/>
          <w:szCs w:val="32"/>
          <w:highlight w:val="none"/>
          <w:lang w:val="en-US" w:eastAsia="zh-CN"/>
        </w:rPr>
        <w:t>价</w:t>
      </w:r>
      <w:r>
        <w:rPr>
          <w:rFonts w:hint="eastAsia" w:ascii="仿宋" w:hAnsi="仿宋" w:eastAsia="仿宋" w:cs="仿宋"/>
          <w:color w:val="auto"/>
          <w:sz w:val="32"/>
          <w:szCs w:val="32"/>
          <w:highlight w:val="none"/>
        </w:rPr>
        <w:t>评</w:t>
      </w:r>
      <w:r>
        <w:rPr>
          <w:rFonts w:hint="eastAsia" w:ascii="仿宋" w:hAnsi="仿宋" w:eastAsia="仿宋" w:cs="仿宋"/>
          <w:color w:val="auto"/>
          <w:sz w:val="32"/>
          <w:szCs w:val="32"/>
          <w:highlight w:val="none"/>
          <w:lang w:val="en-US" w:eastAsia="zh-CN"/>
        </w:rPr>
        <w:t>分</w:t>
      </w:r>
      <w:r>
        <w:rPr>
          <w:rFonts w:hint="eastAsia" w:ascii="仿宋" w:hAnsi="仿宋" w:eastAsia="仿宋" w:cs="仿宋"/>
          <w:color w:val="auto"/>
          <w:sz w:val="32"/>
          <w:szCs w:val="32"/>
          <w:highlight w:val="none"/>
        </w:rPr>
        <w:t>法的采购项目，提供相同品牌产品的不同投标人参加同一合同项下投标的，以其中通过资格审查、符合性审查且报价最低的参加评标；报价相同的，由采购人</w:t>
      </w:r>
      <w:r>
        <w:rPr>
          <w:rFonts w:hint="eastAsia" w:ascii="仿宋" w:hAnsi="仿宋" w:eastAsia="仿宋" w:cs="仿宋"/>
          <w:color w:val="auto"/>
          <w:sz w:val="32"/>
          <w:szCs w:val="32"/>
          <w:highlight w:val="none"/>
          <w:lang w:val="en-US" w:eastAsia="zh-CN"/>
        </w:rPr>
        <w:t>组织</w:t>
      </w:r>
      <w:r>
        <w:rPr>
          <w:rFonts w:hint="eastAsia" w:ascii="仿宋" w:hAnsi="仿宋" w:eastAsia="仿宋" w:cs="仿宋"/>
          <w:color w:val="auto"/>
          <w:sz w:val="32"/>
          <w:szCs w:val="32"/>
          <w:highlight w:val="none"/>
        </w:rPr>
        <w:t>评标</w:t>
      </w:r>
      <w:r>
        <w:rPr>
          <w:rFonts w:hint="eastAsia" w:ascii="仿宋" w:hAnsi="仿宋" w:eastAsia="仿宋" w:cs="仿宋"/>
          <w:color w:val="auto"/>
          <w:sz w:val="32"/>
          <w:szCs w:val="32"/>
          <w:highlight w:val="none"/>
          <w:lang w:val="en-US" w:eastAsia="zh-CN"/>
        </w:rPr>
        <w:t>小组</w:t>
      </w:r>
      <w:r>
        <w:rPr>
          <w:rFonts w:hint="eastAsia" w:ascii="仿宋" w:hAnsi="仿宋" w:eastAsia="仿宋" w:cs="仿宋"/>
          <w:color w:val="auto"/>
          <w:sz w:val="32"/>
          <w:szCs w:val="32"/>
          <w:highlight w:val="none"/>
        </w:rPr>
        <w:t>按照采取随机抽取方式确定</w:t>
      </w:r>
      <w:r>
        <w:rPr>
          <w:rFonts w:hint="eastAsia" w:ascii="仿宋" w:hAnsi="仿宋" w:eastAsia="仿宋" w:cs="仿宋"/>
          <w:color w:val="auto"/>
          <w:sz w:val="32"/>
          <w:szCs w:val="32"/>
          <w:highlight w:val="none"/>
          <w:lang w:val="en-US" w:eastAsia="zh-CN"/>
        </w:rPr>
        <w:t>第一候选人</w:t>
      </w:r>
      <w:r>
        <w:rPr>
          <w:rFonts w:hint="eastAsia" w:ascii="仿宋" w:hAnsi="仿宋" w:eastAsia="仿宋" w:cs="仿宋"/>
          <w:color w:val="auto"/>
          <w:sz w:val="32"/>
          <w:szCs w:val="32"/>
          <w:highlight w:val="none"/>
        </w:rPr>
        <w:t>，其他投标无效。</w:t>
      </w:r>
    </w:p>
    <w:p>
      <w:pPr>
        <w:ind w:firstLine="640" w:firstLineChars="200"/>
        <w:jc w:val="left"/>
        <w:rPr>
          <w:rFonts w:hint="default" w:eastAsia="仿宋"/>
          <w:color w:val="auto"/>
          <w:highlight w:val="none"/>
          <w:lang w:val="en-US" w:eastAsia="zh-CN"/>
        </w:rPr>
      </w:pPr>
      <w:r>
        <w:rPr>
          <w:rFonts w:hint="eastAsia" w:ascii="仿宋" w:hAnsi="仿宋" w:eastAsia="仿宋" w:cs="仿宋"/>
          <w:color w:val="auto"/>
          <w:sz w:val="32"/>
          <w:szCs w:val="32"/>
          <w:highlight w:val="none"/>
          <w:lang w:val="en-US" w:eastAsia="zh-CN"/>
        </w:rPr>
        <w:t>采用</w:t>
      </w:r>
      <w:r>
        <w:rPr>
          <w:rFonts w:hint="eastAsia" w:ascii="仿宋" w:hAnsi="仿宋" w:eastAsia="仿宋" w:cs="仿宋"/>
          <w:color w:val="auto"/>
          <w:sz w:val="32"/>
          <w:szCs w:val="32"/>
          <w:highlight w:val="none"/>
        </w:rPr>
        <w:t>综合评分法的采购项目，提供相同品牌产品且通过资格审查、符合性审查的不同投标人参加同一合同项下投标的，按一家投标人计算，评审后得分最高的同品牌投标人获得中标人推荐资格；评审得分相同的，</w:t>
      </w:r>
      <w:r>
        <w:rPr>
          <w:rFonts w:hint="eastAsia" w:ascii="仿宋" w:hAnsi="仿宋" w:eastAsia="仿宋" w:cs="仿宋"/>
          <w:color w:val="auto"/>
          <w:sz w:val="32"/>
          <w:szCs w:val="32"/>
          <w:highlight w:val="none"/>
          <w:lang w:val="en-US" w:eastAsia="zh-CN"/>
        </w:rPr>
        <w:t>则价格最低的供应商</w:t>
      </w:r>
      <w:r>
        <w:rPr>
          <w:rFonts w:hint="eastAsia" w:ascii="仿宋" w:hAnsi="仿宋" w:eastAsia="仿宋" w:cs="仿宋"/>
          <w:color w:val="auto"/>
          <w:sz w:val="32"/>
          <w:szCs w:val="32"/>
          <w:highlight w:val="none"/>
        </w:rPr>
        <w:t>确定</w:t>
      </w:r>
      <w:r>
        <w:rPr>
          <w:rFonts w:hint="eastAsia" w:ascii="仿宋" w:hAnsi="仿宋" w:eastAsia="仿宋" w:cs="仿宋"/>
          <w:color w:val="auto"/>
          <w:sz w:val="32"/>
          <w:szCs w:val="32"/>
          <w:highlight w:val="none"/>
          <w:lang w:val="en-US" w:eastAsia="zh-CN"/>
        </w:rPr>
        <w:t>第一候选人。价格也相同时，</w:t>
      </w:r>
      <w:r>
        <w:rPr>
          <w:rFonts w:hint="eastAsia" w:ascii="仿宋" w:hAnsi="仿宋" w:eastAsia="仿宋" w:cs="仿宋"/>
          <w:color w:val="auto"/>
          <w:sz w:val="32"/>
          <w:szCs w:val="32"/>
          <w:highlight w:val="none"/>
        </w:rPr>
        <w:t>由采购人</w:t>
      </w:r>
      <w:r>
        <w:rPr>
          <w:rFonts w:hint="eastAsia" w:ascii="仿宋" w:hAnsi="仿宋" w:eastAsia="仿宋" w:cs="仿宋"/>
          <w:color w:val="auto"/>
          <w:sz w:val="32"/>
          <w:szCs w:val="32"/>
          <w:highlight w:val="none"/>
          <w:lang w:val="en-US" w:eastAsia="zh-CN"/>
        </w:rPr>
        <w:t>组织</w:t>
      </w:r>
      <w:r>
        <w:rPr>
          <w:rFonts w:hint="eastAsia" w:ascii="仿宋" w:hAnsi="仿宋" w:eastAsia="仿宋" w:cs="仿宋"/>
          <w:color w:val="auto"/>
          <w:sz w:val="32"/>
          <w:szCs w:val="32"/>
          <w:highlight w:val="none"/>
        </w:rPr>
        <w:t>评标</w:t>
      </w:r>
      <w:r>
        <w:rPr>
          <w:rFonts w:hint="eastAsia" w:ascii="仿宋" w:hAnsi="仿宋" w:eastAsia="仿宋" w:cs="仿宋"/>
          <w:color w:val="auto"/>
          <w:sz w:val="32"/>
          <w:szCs w:val="32"/>
          <w:highlight w:val="none"/>
          <w:lang w:val="en-US" w:eastAsia="zh-CN"/>
        </w:rPr>
        <w:t>小组</w:t>
      </w:r>
      <w:r>
        <w:rPr>
          <w:rFonts w:hint="eastAsia" w:ascii="仿宋" w:hAnsi="仿宋" w:eastAsia="仿宋" w:cs="仿宋"/>
          <w:color w:val="auto"/>
          <w:sz w:val="32"/>
          <w:szCs w:val="32"/>
          <w:highlight w:val="none"/>
        </w:rPr>
        <w:t>按照采取随机抽取方式确定</w:t>
      </w:r>
      <w:r>
        <w:rPr>
          <w:rFonts w:hint="eastAsia" w:ascii="仿宋" w:hAnsi="仿宋" w:eastAsia="仿宋" w:cs="仿宋"/>
          <w:color w:val="auto"/>
          <w:sz w:val="32"/>
          <w:szCs w:val="32"/>
          <w:highlight w:val="none"/>
          <w:lang w:val="en-US" w:eastAsia="zh-CN"/>
        </w:rPr>
        <w:t>第一候选人</w:t>
      </w:r>
      <w:r>
        <w:rPr>
          <w:rFonts w:hint="eastAsia" w:ascii="仿宋" w:hAnsi="仿宋" w:eastAsia="仿宋" w:cs="仿宋"/>
          <w:color w:val="auto"/>
          <w:sz w:val="32"/>
          <w:szCs w:val="32"/>
          <w:highlight w:val="none"/>
        </w:rPr>
        <w:t>，其他投标无效。</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五、</w:t>
      </w:r>
      <w:r>
        <w:rPr>
          <w:rFonts w:hint="eastAsia" w:ascii="仿宋" w:hAnsi="仿宋" w:eastAsia="仿宋" w:cs="仿宋"/>
          <w:color w:val="auto"/>
          <w:sz w:val="32"/>
          <w:szCs w:val="32"/>
          <w:highlight w:val="none"/>
          <w:lang w:eastAsia="zh-CN"/>
        </w:rPr>
        <w:t>院内采购评审小组</w:t>
      </w:r>
      <w:r>
        <w:rPr>
          <w:rFonts w:hint="eastAsia" w:ascii="仿宋" w:hAnsi="仿宋" w:eastAsia="仿宋" w:cs="仿宋"/>
          <w:color w:val="auto"/>
          <w:sz w:val="32"/>
          <w:szCs w:val="32"/>
          <w:highlight w:val="none"/>
        </w:rPr>
        <w:t>的组建。</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依法由三人</w:t>
      </w:r>
      <w:r>
        <w:rPr>
          <w:rFonts w:hint="eastAsia" w:ascii="仿宋" w:hAnsi="仿宋" w:eastAsia="仿宋" w:cs="仿宋"/>
          <w:color w:val="auto"/>
          <w:sz w:val="32"/>
          <w:szCs w:val="32"/>
          <w:highlight w:val="none"/>
          <w:lang w:eastAsia="zh-CN"/>
        </w:rPr>
        <w:t>及</w:t>
      </w:r>
      <w:r>
        <w:rPr>
          <w:rFonts w:hint="eastAsia" w:ascii="仿宋" w:hAnsi="仿宋" w:eastAsia="仿宋" w:cs="仿宋"/>
          <w:color w:val="auto"/>
          <w:sz w:val="32"/>
          <w:szCs w:val="32"/>
          <w:highlight w:val="none"/>
        </w:rPr>
        <w:t>以上单数组成。</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六、</w:t>
      </w:r>
      <w:r>
        <w:rPr>
          <w:rFonts w:hint="eastAsia" w:ascii="仿宋" w:hAnsi="仿宋" w:eastAsia="仿宋" w:cs="仿宋"/>
          <w:color w:val="auto"/>
          <w:sz w:val="32"/>
          <w:szCs w:val="32"/>
          <w:highlight w:val="none"/>
        </w:rPr>
        <w:t>低于成本价不正当竞争预防措施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在评审过程中，供应商报价明显低于其他有效供应商报价，有可能影响产品质量或者不能诚信履约的，</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小组应当要求其在</w:t>
      </w:r>
      <w:r>
        <w:rPr>
          <w:rFonts w:hint="eastAsia" w:ascii="仿宋" w:hAnsi="仿宋" w:eastAsia="仿宋" w:cs="仿宋"/>
          <w:color w:val="auto"/>
          <w:sz w:val="32"/>
          <w:szCs w:val="32"/>
          <w:highlight w:val="none"/>
          <w:lang w:val="en-US" w:eastAsia="zh-CN"/>
        </w:rPr>
        <w:t>半</w:t>
      </w:r>
      <w:r>
        <w:rPr>
          <w:rFonts w:hint="eastAsia" w:ascii="仿宋" w:hAnsi="仿宋" w:eastAsia="仿宋" w:cs="仿宋"/>
          <w:color w:val="auto"/>
          <w:sz w:val="32"/>
          <w:szCs w:val="32"/>
          <w:highlight w:val="none"/>
        </w:rPr>
        <w:t>小时内提供书面说明，并提交相关证明材料，供应商不能证明其报价合理性的，</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小组应当将其作为无效处理。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供应商的书面说明材料应当按照国家财务会计制度的规定要求，逐项就供应商提供的货物、工程和服务的主营业务成本、税金及附加、销售费用、管理费用、财务费用等成本构成事项详细陈述。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供应商书面说明应当签字确认或者加盖公章，否则无效。书面说明的签字确认，由其法定代表人/主要负责人/本人或者其授权代表签字确认。</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供应商提供书面说明后，</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小组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书的，</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小组应当将其响应文件作为无效处理。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七</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工作纪律和注意事项。在</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活动中，供应商、</w:t>
      </w:r>
      <w:r>
        <w:rPr>
          <w:rFonts w:hint="eastAsia" w:ascii="仿宋" w:hAnsi="仿宋" w:eastAsia="仿宋" w:cs="仿宋"/>
          <w:color w:val="auto"/>
          <w:sz w:val="32"/>
          <w:szCs w:val="32"/>
          <w:highlight w:val="none"/>
          <w:lang w:eastAsia="zh-CN"/>
        </w:rPr>
        <w:t>评审</w:t>
      </w:r>
      <w:r>
        <w:rPr>
          <w:rFonts w:hint="eastAsia" w:ascii="仿宋" w:hAnsi="仿宋" w:eastAsia="仿宋" w:cs="仿宋"/>
          <w:color w:val="auto"/>
          <w:sz w:val="32"/>
          <w:szCs w:val="32"/>
          <w:highlight w:val="none"/>
        </w:rPr>
        <w:t>成员、组织</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工作的有关工作人员应严格遵守相关纪律规定，注意以下事项：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不得泄露</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活动在应当保密的情况和资料，不得与供应商串通损害国家利益、社会公共利益或者他人合法权益。</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供应商不得相互串通报价；不得向</w:t>
      </w:r>
      <w:r>
        <w:rPr>
          <w:rFonts w:hint="eastAsia" w:ascii="仿宋" w:hAnsi="仿宋" w:eastAsia="仿宋" w:cs="仿宋"/>
          <w:color w:val="auto"/>
          <w:sz w:val="32"/>
          <w:szCs w:val="32"/>
          <w:highlight w:val="none"/>
          <w:lang w:eastAsia="zh-CN"/>
        </w:rPr>
        <w:t>评审</w:t>
      </w:r>
      <w:r>
        <w:rPr>
          <w:rFonts w:hint="eastAsia" w:ascii="仿宋" w:hAnsi="仿宋" w:eastAsia="仿宋" w:cs="仿宋"/>
          <w:color w:val="auto"/>
          <w:sz w:val="32"/>
          <w:szCs w:val="32"/>
          <w:highlight w:val="none"/>
        </w:rPr>
        <w:t>成员行贿谋取成交；不得以他人名义或者其他方式弄虚作假骗取成交；不得以任何方式干扰、影响</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lang w:eastAsia="zh-CN"/>
        </w:rPr>
        <w:t>评审</w:t>
      </w:r>
      <w:r>
        <w:rPr>
          <w:rFonts w:hint="eastAsia" w:ascii="仿宋" w:hAnsi="仿宋" w:eastAsia="仿宋" w:cs="仿宋"/>
          <w:color w:val="auto"/>
          <w:sz w:val="32"/>
          <w:szCs w:val="32"/>
          <w:highlight w:val="none"/>
        </w:rPr>
        <w:t>成员不得收受他人财物或者其他好处，不得向他人透露</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活动中的各个细节和标准情况。在</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活动中，不得擅离职守，影响</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活动的进行，不得使用本</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文件规定以外的因素和标准进行评审、比较。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color w:val="auto"/>
          <w:sz w:val="24"/>
          <w:highlight w:val="none"/>
        </w:rPr>
      </w:pPr>
      <w:r>
        <w:rPr>
          <w:rFonts w:hint="eastAsia" w:ascii="仿宋" w:hAnsi="仿宋" w:eastAsia="仿宋" w:cs="仿宋"/>
          <w:color w:val="auto"/>
          <w:sz w:val="32"/>
          <w:szCs w:val="32"/>
          <w:highlight w:val="none"/>
        </w:rPr>
        <w:t>4</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组织</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的工作人员不得收受他人的财物或者其他好处，不得向他人透露</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活动中各有关细节及推荐评审情况。在</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活动中不得擅离职守，影响</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活动的正常进行。</w:t>
      </w:r>
    </w:p>
    <w:p>
      <w:pPr>
        <w:pStyle w:val="9"/>
        <w:ind w:left="0" w:leftChars="0" w:firstLine="0" w:firstLineChars="0"/>
        <w:rPr>
          <w:rFonts w:hint="eastAsia" w:ascii="黑体" w:hAnsi="黑体" w:eastAsia="黑体" w:cs="黑体"/>
          <w:color w:val="auto"/>
          <w:highlight w:val="none"/>
          <w:lang w:eastAsia="zh-CN"/>
        </w:rPr>
      </w:pPr>
    </w:p>
    <w:p>
      <w:pPr>
        <w:rPr>
          <w:rFonts w:hint="eastAsia" w:ascii="黑体" w:hAnsi="黑体" w:eastAsia="黑体" w:cs="黑体"/>
          <w:color w:val="auto"/>
          <w:highlight w:val="none"/>
          <w:lang w:val="en-US" w:eastAsia="zh-CN"/>
        </w:rPr>
      </w:pPr>
    </w:p>
    <w:p>
      <w:pPr>
        <w:rPr>
          <w:rFonts w:hint="eastAsia" w:ascii="黑体" w:hAnsi="黑体" w:eastAsia="黑体" w:cs="黑体"/>
          <w:b/>
          <w:color w:val="auto"/>
          <w:sz w:val="48"/>
          <w:szCs w:val="48"/>
          <w:highlight w:val="none"/>
          <w:u w:val="single"/>
        </w:rPr>
      </w:pPr>
      <w:r>
        <w:rPr>
          <w:rFonts w:hint="eastAsia" w:ascii="黑体" w:hAnsi="黑体" w:eastAsia="黑体" w:cs="黑体"/>
          <w:b/>
          <w:color w:val="auto"/>
          <w:sz w:val="48"/>
          <w:szCs w:val="48"/>
          <w:highlight w:val="none"/>
          <w:u w:val="single"/>
        </w:rPr>
        <w:br w:type="page"/>
      </w:r>
    </w:p>
    <w:p>
      <w:pPr>
        <w:spacing w:line="360" w:lineRule="auto"/>
        <w:jc w:val="center"/>
        <w:rPr>
          <w:rFonts w:hint="eastAsia" w:ascii="黑体" w:hAnsi="黑体" w:eastAsia="黑体" w:cs="黑体"/>
          <w:b/>
          <w:color w:val="auto"/>
          <w:sz w:val="48"/>
          <w:szCs w:val="48"/>
          <w:highlight w:val="none"/>
          <w:lang w:val="en-US" w:eastAsia="zh-CN"/>
        </w:rPr>
      </w:pPr>
      <w:r>
        <w:rPr>
          <w:rFonts w:hint="eastAsia" w:ascii="黑体" w:hAnsi="黑体" w:eastAsia="黑体" w:cs="黑体"/>
          <w:b/>
          <w:color w:val="auto"/>
          <w:sz w:val="48"/>
          <w:szCs w:val="48"/>
          <w:highlight w:val="none"/>
          <w:lang w:val="en-US" w:eastAsia="zh-CN"/>
        </w:rPr>
        <w:t>（采购封面）</w:t>
      </w:r>
    </w:p>
    <w:p>
      <w:pPr>
        <w:spacing w:line="360" w:lineRule="auto"/>
        <w:jc w:val="center"/>
        <w:rPr>
          <w:rFonts w:hint="eastAsia" w:ascii="黑体" w:hAnsi="黑体" w:eastAsia="黑体" w:cs="黑体"/>
          <w:b/>
          <w:color w:val="auto"/>
          <w:sz w:val="48"/>
          <w:szCs w:val="48"/>
          <w:highlight w:val="none"/>
          <w:lang w:eastAsia="zh-CN"/>
        </w:rPr>
      </w:pPr>
      <w:r>
        <w:rPr>
          <w:rFonts w:hint="eastAsia" w:ascii="黑体" w:hAnsi="黑体" w:eastAsia="黑体" w:cs="黑体"/>
          <w:b/>
          <w:color w:val="auto"/>
          <w:sz w:val="48"/>
          <w:szCs w:val="48"/>
          <w:highlight w:val="none"/>
          <w:lang w:val="en-US" w:eastAsia="zh-CN"/>
        </w:rPr>
        <w:t>乐山市五通桥区人民医院采购项目</w:t>
      </w:r>
    </w:p>
    <w:p>
      <w:pPr>
        <w:spacing w:line="400" w:lineRule="exact"/>
        <w:ind w:firstLine="4897" w:firstLineChars="583"/>
        <w:rPr>
          <w:rFonts w:hint="eastAsia" w:ascii="黑体" w:hAnsi="黑体" w:eastAsia="黑体" w:cs="黑体"/>
          <w:color w:val="auto"/>
          <w:sz w:val="84"/>
          <w:szCs w:val="84"/>
          <w:highlight w:val="none"/>
          <w:lang w:eastAsia="zh-CN"/>
        </w:rPr>
      </w:pPr>
    </w:p>
    <w:p>
      <w:pPr>
        <w:pStyle w:val="6"/>
        <w:jc w:val="center"/>
        <w:rPr>
          <w:rFonts w:hint="eastAsia" w:ascii="黑体" w:hAnsi="黑体" w:eastAsia="黑体" w:cs="黑体"/>
          <w:color w:val="auto"/>
          <w:sz w:val="44"/>
          <w:szCs w:val="44"/>
          <w:highlight w:val="none"/>
          <w:lang w:val="en-US" w:eastAsia="zh-CN"/>
        </w:rPr>
      </w:pPr>
      <w:r>
        <w:rPr>
          <w:rFonts w:hint="eastAsia" w:ascii="黑体" w:hAnsi="黑体" w:eastAsia="黑体" w:cs="黑体"/>
          <w:color w:val="auto"/>
          <w:sz w:val="44"/>
          <w:szCs w:val="44"/>
          <w:highlight w:val="none"/>
          <w:lang w:val="en-US" w:eastAsia="zh-CN"/>
        </w:rPr>
        <w:t>院内采购文件</w:t>
      </w:r>
    </w:p>
    <w:p>
      <w:pPr>
        <w:rPr>
          <w:rFonts w:hint="eastAsia" w:ascii="黑体" w:hAnsi="黑体" w:eastAsia="黑体" w:cs="黑体"/>
          <w:color w:val="auto"/>
          <w:sz w:val="84"/>
          <w:szCs w:val="84"/>
          <w:highlight w:val="none"/>
          <w:lang w:val="en-US" w:eastAsia="zh-CN"/>
        </w:rPr>
      </w:pPr>
    </w:p>
    <w:p>
      <w:pPr>
        <w:pStyle w:val="6"/>
        <w:rPr>
          <w:rFonts w:hint="eastAsia" w:ascii="黑体" w:hAnsi="黑体" w:eastAsia="黑体" w:cs="黑体"/>
          <w:color w:val="auto"/>
          <w:highlight w:val="none"/>
          <w:lang w:val="en-US" w:eastAsia="zh-CN"/>
        </w:rPr>
      </w:pPr>
    </w:p>
    <w:p>
      <w:pPr>
        <w:spacing w:line="400" w:lineRule="exact"/>
        <w:ind w:firstLine="4897" w:firstLineChars="583"/>
        <w:rPr>
          <w:rFonts w:hint="eastAsia" w:ascii="黑体" w:hAnsi="黑体" w:eastAsia="黑体" w:cs="黑体"/>
          <w:color w:val="auto"/>
          <w:sz w:val="84"/>
          <w:szCs w:val="84"/>
          <w:highlight w:val="none"/>
        </w:rPr>
      </w:pPr>
    </w:p>
    <w:p>
      <w:pPr>
        <w:spacing w:line="400" w:lineRule="exact"/>
        <w:ind w:firstLine="4897" w:firstLineChars="583"/>
        <w:rPr>
          <w:rFonts w:hint="eastAsia" w:ascii="黑体" w:hAnsi="黑体" w:eastAsia="黑体" w:cs="黑体"/>
          <w:color w:val="auto"/>
          <w:sz w:val="84"/>
          <w:szCs w:val="84"/>
          <w:highlight w:val="none"/>
        </w:rPr>
      </w:pPr>
    </w:p>
    <w:p>
      <w:pPr>
        <w:spacing w:line="400" w:lineRule="exact"/>
        <w:rPr>
          <w:rFonts w:hint="eastAsia" w:ascii="黑体" w:hAnsi="黑体" w:eastAsia="黑体" w:cs="黑体"/>
          <w:b/>
          <w:bCs/>
          <w:color w:val="auto"/>
          <w:sz w:val="30"/>
          <w:szCs w:val="30"/>
          <w:highlight w:val="none"/>
        </w:rPr>
      </w:pPr>
    </w:p>
    <w:p>
      <w:pPr>
        <w:widowControl w:val="0"/>
        <w:adjustRightInd/>
        <w:spacing w:line="360" w:lineRule="auto"/>
        <w:jc w:val="left"/>
        <w:rPr>
          <w:rFonts w:hint="eastAsia" w:ascii="黑体" w:hAnsi="黑体" w:eastAsia="黑体" w:cs="黑体"/>
          <w:b/>
          <w:color w:val="auto"/>
          <w:sz w:val="32"/>
          <w:szCs w:val="32"/>
          <w:highlight w:val="none"/>
          <w:u w:val="single"/>
        </w:rPr>
      </w:pPr>
      <w:r>
        <w:rPr>
          <w:rFonts w:hint="eastAsia" w:ascii="黑体" w:hAnsi="黑体" w:eastAsia="黑体" w:cs="黑体"/>
          <w:b/>
          <w:bCs/>
          <w:color w:val="auto"/>
          <w:sz w:val="32"/>
          <w:szCs w:val="32"/>
          <w:highlight w:val="none"/>
        </w:rPr>
        <w:t>项目名称：</w:t>
      </w:r>
    </w:p>
    <w:p>
      <w:pPr>
        <w:widowControl w:val="0"/>
        <w:adjustRightInd/>
        <w:spacing w:line="360" w:lineRule="auto"/>
        <w:jc w:val="left"/>
        <w:rPr>
          <w:rFonts w:hint="default" w:ascii="黑体" w:hAnsi="黑体" w:eastAsia="黑体" w:cs="黑体"/>
          <w:b/>
          <w:color w:val="auto"/>
          <w:sz w:val="32"/>
          <w:szCs w:val="32"/>
          <w:highlight w:val="none"/>
          <w:u w:val="single"/>
          <w:lang w:val="en-US" w:eastAsia="zh-CN"/>
        </w:rPr>
      </w:pPr>
      <w:r>
        <w:rPr>
          <w:rFonts w:hint="eastAsia" w:ascii="黑体" w:hAnsi="黑体" w:eastAsia="黑体" w:cs="黑体"/>
          <w:b/>
          <w:bCs/>
          <w:color w:val="auto"/>
          <w:sz w:val="32"/>
          <w:szCs w:val="32"/>
          <w:highlight w:val="none"/>
          <w:lang w:val="en-US" w:eastAsia="zh-CN"/>
        </w:rPr>
        <w:t>项目编号：</w:t>
      </w:r>
    </w:p>
    <w:p>
      <w:pPr>
        <w:widowControl w:val="0"/>
        <w:adjustRightInd/>
        <w:spacing w:line="360" w:lineRule="auto"/>
        <w:jc w:val="left"/>
        <w:rPr>
          <w:rFonts w:hint="eastAsia" w:ascii="黑体" w:hAnsi="黑体" w:eastAsia="黑体" w:cs="黑体"/>
          <w:b/>
          <w:bCs/>
          <w:color w:val="auto"/>
          <w:sz w:val="32"/>
          <w:szCs w:val="32"/>
          <w:highlight w:val="none"/>
          <w:u w:val="single"/>
        </w:rPr>
      </w:pPr>
      <w:r>
        <w:rPr>
          <w:rFonts w:hint="eastAsia" w:ascii="黑体" w:hAnsi="黑体" w:eastAsia="黑体" w:cs="黑体"/>
          <w:b/>
          <w:bCs/>
          <w:color w:val="auto"/>
          <w:sz w:val="32"/>
          <w:szCs w:val="32"/>
          <w:highlight w:val="none"/>
          <w:lang w:eastAsia="zh-CN"/>
        </w:rPr>
        <w:t>供应</w:t>
      </w:r>
      <w:r>
        <w:rPr>
          <w:rFonts w:hint="eastAsia" w:ascii="黑体" w:hAnsi="黑体" w:eastAsia="黑体" w:cs="黑体"/>
          <w:b/>
          <w:bCs/>
          <w:color w:val="auto"/>
          <w:sz w:val="32"/>
          <w:szCs w:val="32"/>
          <w:highlight w:val="none"/>
        </w:rPr>
        <w:t>商名称</w:t>
      </w:r>
      <w:r>
        <w:rPr>
          <w:rFonts w:hint="eastAsia" w:ascii="黑体" w:hAnsi="黑体" w:eastAsia="黑体" w:cs="黑体"/>
          <w:b/>
          <w:color w:val="auto"/>
          <w:sz w:val="32"/>
          <w:szCs w:val="32"/>
          <w:highlight w:val="none"/>
        </w:rPr>
        <w:t xml:space="preserve">： </w:t>
      </w:r>
      <w:r>
        <w:rPr>
          <w:rFonts w:hint="eastAsia" w:ascii="黑体" w:hAnsi="黑体" w:eastAsia="黑体" w:cs="黑体"/>
          <w:color w:val="auto"/>
          <w:sz w:val="32"/>
          <w:szCs w:val="32"/>
          <w:highlight w:val="none"/>
          <w:u w:val="single"/>
        </w:rPr>
        <w:t xml:space="preserve">                     </w:t>
      </w:r>
      <w:r>
        <w:rPr>
          <w:rFonts w:hint="eastAsia" w:ascii="黑体" w:hAnsi="黑体" w:eastAsia="黑体" w:cs="黑体"/>
          <w:color w:val="auto"/>
          <w:sz w:val="32"/>
          <w:szCs w:val="32"/>
          <w:highlight w:val="none"/>
          <w:u w:val="single"/>
          <w:lang w:val="en-US" w:eastAsia="zh-CN"/>
        </w:rPr>
        <w:t xml:space="preserve">   </w:t>
      </w:r>
      <w:r>
        <w:rPr>
          <w:rFonts w:hint="eastAsia" w:ascii="黑体" w:hAnsi="黑体" w:eastAsia="黑体" w:cs="黑体"/>
          <w:color w:val="auto"/>
          <w:sz w:val="32"/>
          <w:szCs w:val="32"/>
          <w:highlight w:val="none"/>
          <w:u w:val="single"/>
        </w:rPr>
        <w:t xml:space="preserve">  </w:t>
      </w:r>
      <w:r>
        <w:rPr>
          <w:rFonts w:hint="eastAsia" w:ascii="黑体" w:hAnsi="黑体" w:eastAsia="黑体" w:cs="黑体"/>
          <w:b/>
          <w:bCs/>
          <w:color w:val="auto"/>
          <w:sz w:val="32"/>
          <w:szCs w:val="32"/>
          <w:highlight w:val="none"/>
        </w:rPr>
        <w:t>（盖章）</w:t>
      </w:r>
    </w:p>
    <w:p>
      <w:pPr>
        <w:widowControl w:val="0"/>
        <w:adjustRightInd/>
        <w:spacing w:line="360" w:lineRule="auto"/>
        <w:jc w:val="left"/>
        <w:rPr>
          <w:rFonts w:hint="default"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联系人及电话：________________________</w:t>
      </w:r>
    </w:p>
    <w:p>
      <w:pPr>
        <w:widowControl w:val="0"/>
        <w:adjustRightInd/>
        <w:spacing w:line="360" w:lineRule="auto"/>
        <w:ind w:firstLine="315" w:firstLineChars="98"/>
        <w:jc w:val="left"/>
        <w:rPr>
          <w:rFonts w:hint="eastAsia" w:ascii="黑体" w:hAnsi="黑体" w:eastAsia="黑体" w:cs="黑体"/>
          <w:b/>
          <w:bCs/>
          <w:color w:val="auto"/>
          <w:sz w:val="32"/>
          <w:szCs w:val="32"/>
          <w:highlight w:val="none"/>
        </w:rPr>
      </w:pPr>
    </w:p>
    <w:p>
      <w:pPr>
        <w:widowControl w:val="0"/>
        <w:adjustRightInd/>
        <w:spacing w:line="360" w:lineRule="auto"/>
        <w:ind w:firstLine="3040" w:firstLineChars="950"/>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年</w:t>
      </w:r>
      <w:r>
        <w:rPr>
          <w:rFonts w:hint="eastAsia" w:ascii="黑体" w:hAnsi="黑体" w:eastAsia="黑体" w:cs="黑体"/>
          <w:color w:val="auto"/>
          <w:sz w:val="32"/>
          <w:szCs w:val="32"/>
          <w:highlight w:val="none"/>
          <w:u w:val="single"/>
        </w:rPr>
        <w:t xml:space="preserve">   </w:t>
      </w:r>
      <w:r>
        <w:rPr>
          <w:rFonts w:hint="eastAsia" w:ascii="黑体" w:hAnsi="黑体" w:eastAsia="黑体" w:cs="黑体"/>
          <w:color w:val="auto"/>
          <w:sz w:val="32"/>
          <w:szCs w:val="32"/>
          <w:highlight w:val="none"/>
        </w:rPr>
        <w:t>月</w:t>
      </w:r>
      <w:r>
        <w:rPr>
          <w:rFonts w:hint="eastAsia" w:ascii="黑体" w:hAnsi="黑体" w:eastAsia="黑体" w:cs="黑体"/>
          <w:color w:val="auto"/>
          <w:sz w:val="32"/>
          <w:szCs w:val="32"/>
          <w:highlight w:val="none"/>
          <w:u w:val="single"/>
        </w:rPr>
        <w:t xml:space="preserve">   </w:t>
      </w:r>
      <w:r>
        <w:rPr>
          <w:rFonts w:hint="eastAsia" w:ascii="黑体" w:hAnsi="黑体" w:eastAsia="黑体" w:cs="黑体"/>
          <w:color w:val="auto"/>
          <w:sz w:val="32"/>
          <w:szCs w:val="32"/>
          <w:highlight w:val="none"/>
        </w:rPr>
        <w:t>日</w:t>
      </w:r>
    </w:p>
    <w:p>
      <w:pPr>
        <w:rPr>
          <w:rFonts w:hint="eastAsia" w:ascii="黑体" w:hAnsi="黑体" w:eastAsia="黑体" w:cs="黑体"/>
          <w:b/>
          <w:bCs/>
          <w:color w:val="auto"/>
          <w:sz w:val="32"/>
          <w:szCs w:val="32"/>
          <w:highlight w:val="none"/>
        </w:rPr>
      </w:pPr>
      <w:bookmarkStart w:id="0" w:name="_Toc18458"/>
      <w:bookmarkStart w:id="1" w:name="_Toc25737"/>
      <w:bookmarkStart w:id="2" w:name="_Toc9490"/>
      <w:bookmarkStart w:id="3" w:name="_Toc5773"/>
      <w:r>
        <w:rPr>
          <w:rFonts w:hint="eastAsia" w:ascii="黑体" w:hAnsi="黑体" w:eastAsia="黑体" w:cs="黑体"/>
          <w:b/>
          <w:bCs/>
          <w:color w:val="auto"/>
          <w:sz w:val="32"/>
          <w:szCs w:val="32"/>
          <w:highlight w:val="none"/>
        </w:rPr>
        <w:br w:type="page"/>
      </w:r>
    </w:p>
    <w:bookmarkEnd w:id="0"/>
    <w:bookmarkEnd w:id="1"/>
    <w:bookmarkEnd w:id="2"/>
    <w:bookmarkEnd w:id="3"/>
    <w:p>
      <w:pPr>
        <w:spacing w:line="240" w:lineRule="auto"/>
        <w:jc w:val="center"/>
        <w:rPr>
          <w:rFonts w:hint="eastAsia" w:ascii="黑体" w:hAnsi="黑体" w:eastAsia="黑体" w:cs="黑体"/>
          <w:color w:val="auto"/>
          <w:spacing w:val="2"/>
          <w:sz w:val="40"/>
          <w:szCs w:val="40"/>
          <w:highlight w:val="none"/>
        </w:rPr>
      </w:pPr>
      <w:bookmarkStart w:id="4" w:name="_Toc4003"/>
      <w:bookmarkStart w:id="5" w:name="_Toc439699516"/>
      <w:bookmarkStart w:id="6" w:name="_Toc12449"/>
      <w:bookmarkStart w:id="7" w:name="_Toc17549"/>
      <w:r>
        <w:rPr>
          <w:rFonts w:hint="eastAsia" w:ascii="黑体" w:hAnsi="黑体" w:eastAsia="黑体" w:cs="黑体"/>
          <w:color w:val="auto"/>
          <w:spacing w:val="2"/>
          <w:sz w:val="40"/>
          <w:szCs w:val="40"/>
          <w:highlight w:val="none"/>
        </w:rPr>
        <w:t>承诺函</w:t>
      </w:r>
    </w:p>
    <w:p>
      <w:pPr>
        <w:pStyle w:val="6"/>
        <w:rPr>
          <w:rFonts w:hint="eastAsia" w:ascii="黑体" w:hAnsi="黑体" w:eastAsia="黑体" w:cs="黑体"/>
          <w:color w:val="auto"/>
          <w:sz w:val="28"/>
          <w:szCs w:val="28"/>
          <w:highlight w:val="none"/>
        </w:rPr>
      </w:pPr>
    </w:p>
    <w:p>
      <w:pPr>
        <w:snapToGrid w:val="0"/>
        <w:spacing w:line="240" w:lineRule="auto"/>
        <w:contextualSpacing/>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rPr>
        <w:t>乐山市</w:t>
      </w:r>
      <w:r>
        <w:rPr>
          <w:rFonts w:hint="eastAsia" w:ascii="仿宋" w:hAnsi="仿宋" w:eastAsia="仿宋" w:cs="仿宋"/>
          <w:color w:val="auto"/>
          <w:spacing w:val="2"/>
          <w:sz w:val="32"/>
          <w:szCs w:val="32"/>
          <w:highlight w:val="none"/>
          <w:lang w:eastAsia="zh-CN"/>
        </w:rPr>
        <w:t>五通桥区人民医院：</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我方作为本次采购项目的供应商，根据供应商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文件要求，现郑重承诺如下：</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一、具备本项目规定的条件</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lang w:val="en-US" w:eastAsia="zh-CN"/>
        </w:rPr>
        <w:t>1.</w:t>
      </w:r>
      <w:r>
        <w:rPr>
          <w:rFonts w:hint="eastAsia" w:ascii="仿宋" w:hAnsi="仿宋" w:eastAsia="仿宋" w:cs="仿宋"/>
          <w:color w:val="auto"/>
          <w:spacing w:val="2"/>
          <w:sz w:val="32"/>
          <w:szCs w:val="32"/>
          <w:highlight w:val="none"/>
        </w:rPr>
        <w:t>具有独立承担民事责任的能力；</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lang w:val="en-US" w:eastAsia="zh-CN"/>
        </w:rPr>
        <w:t>2.</w:t>
      </w:r>
      <w:r>
        <w:rPr>
          <w:rFonts w:hint="eastAsia" w:ascii="仿宋" w:hAnsi="仿宋" w:eastAsia="仿宋" w:cs="仿宋"/>
          <w:color w:val="auto"/>
          <w:spacing w:val="2"/>
          <w:sz w:val="32"/>
          <w:szCs w:val="32"/>
          <w:highlight w:val="none"/>
        </w:rPr>
        <w:t>具有良好的商业信誉和健全的财务会计制度；</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lang w:val="en-US" w:eastAsia="zh-CN"/>
        </w:rPr>
        <w:t>3.</w:t>
      </w:r>
      <w:r>
        <w:rPr>
          <w:rFonts w:hint="eastAsia" w:ascii="仿宋" w:hAnsi="仿宋" w:eastAsia="仿宋" w:cs="仿宋"/>
          <w:color w:val="auto"/>
          <w:spacing w:val="2"/>
          <w:sz w:val="32"/>
          <w:szCs w:val="32"/>
          <w:highlight w:val="none"/>
        </w:rPr>
        <w:t>具有履行合同所必须的设备和专业技术能力；</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lang w:val="en-US" w:eastAsia="zh-CN"/>
        </w:rPr>
        <w:t>4.</w:t>
      </w:r>
      <w:r>
        <w:rPr>
          <w:rFonts w:hint="eastAsia" w:ascii="仿宋" w:hAnsi="仿宋" w:eastAsia="仿宋" w:cs="仿宋"/>
          <w:color w:val="auto"/>
          <w:spacing w:val="2"/>
          <w:sz w:val="32"/>
          <w:szCs w:val="32"/>
          <w:highlight w:val="none"/>
        </w:rPr>
        <w:t>具有依法缴纳税收和社会保障资金的良好记录；</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lang w:val="en-US" w:eastAsia="zh-CN"/>
        </w:rPr>
        <w:t>5.</w:t>
      </w:r>
      <w:r>
        <w:rPr>
          <w:rFonts w:hint="eastAsia" w:ascii="仿宋" w:hAnsi="仿宋" w:eastAsia="仿宋" w:cs="仿宋"/>
          <w:color w:val="auto"/>
          <w:spacing w:val="2"/>
          <w:sz w:val="32"/>
          <w:szCs w:val="32"/>
          <w:highlight w:val="none"/>
        </w:rPr>
        <w:t>参加本次供应商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活动前三年内，在经营活动中没有重大违法记录；</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lang w:val="en-US" w:eastAsia="zh-CN"/>
        </w:rPr>
        <w:t>6.</w:t>
      </w:r>
      <w:r>
        <w:rPr>
          <w:rFonts w:hint="eastAsia" w:ascii="仿宋" w:hAnsi="仿宋" w:eastAsia="仿宋" w:cs="仿宋"/>
          <w:color w:val="auto"/>
          <w:spacing w:val="2"/>
          <w:sz w:val="32"/>
          <w:szCs w:val="32"/>
          <w:highlight w:val="none"/>
        </w:rPr>
        <w:t>法律、行政法规规定的其他条件；</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二、我方完全接受本项目供应商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文件中规定的要求，如对供应商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文件有异议，已经在供应商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截止时间届满前依法进行维权，不存在对供应商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文件有异议的同时又参加</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活动以求侥幸成交或者为实现其他非法目的的行为。</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三、我方完全接受并认可本项目供应商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文件中规定的要求，并通过我方的响应文件对供应商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文件的规定要求做出了全面的积极响应，如因我方提供的响应没有完全达到或符合本项目供应商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文件的规定要求，评审小组、本项目采购人等单位或组织按国家法律法规及供应商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文件的规定要求做出的认定、处置行为，我方完全同意。</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四、我方完全尊重并认可本项目供应商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文件中规定并赋予本项目采购人“自主采取公平、择优的方式选择”的权利，对本项目采购人选择的结果完全认同并无异议。</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五、参加本次供应商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活动，不存在与单位负责人为同一人或者存在直接控股、管理关系的其他供应商参与同一合同项下的供应商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活动的行为。</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六、参加本次供应商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活动，不存在和其他供应商在同一合同项下的供应商</w:t>
      </w:r>
      <w:r>
        <w:rPr>
          <w:rFonts w:hint="eastAsia" w:ascii="仿宋" w:hAnsi="仿宋" w:eastAsia="仿宋" w:cs="仿宋"/>
          <w:color w:val="auto"/>
          <w:spacing w:val="2"/>
          <w:sz w:val="32"/>
          <w:szCs w:val="32"/>
          <w:highlight w:val="none"/>
          <w:lang w:eastAsia="zh-CN"/>
        </w:rPr>
        <w:t>采购</w:t>
      </w:r>
      <w:r>
        <w:rPr>
          <w:rFonts w:hint="eastAsia" w:ascii="仿宋" w:hAnsi="仿宋" w:eastAsia="仿宋" w:cs="仿宋"/>
          <w:color w:val="auto"/>
          <w:spacing w:val="2"/>
          <w:sz w:val="32"/>
          <w:szCs w:val="32"/>
          <w:highlight w:val="none"/>
        </w:rPr>
        <w:t>项目中，同时委托同一个自然人、同一家庭的人员、同一单位的人员作为代理人的行为。</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lang w:eastAsia="zh-CN"/>
        </w:rPr>
        <w:t>七</w:t>
      </w:r>
      <w:r>
        <w:rPr>
          <w:rFonts w:hint="eastAsia" w:ascii="仿宋" w:hAnsi="仿宋" w:eastAsia="仿宋" w:cs="仿宋"/>
          <w:color w:val="auto"/>
          <w:spacing w:val="2"/>
          <w:sz w:val="32"/>
          <w:szCs w:val="32"/>
          <w:highlight w:val="none"/>
        </w:rPr>
        <w:t>、供应商响应文件中提供的技术、服务、商务等响应承诺情况都是真实的、有效的、合法的。</w:t>
      </w:r>
    </w:p>
    <w:p>
      <w:pPr>
        <w:pStyle w:val="6"/>
        <w:spacing w:line="240" w:lineRule="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pacing w:val="2"/>
          <w:sz w:val="32"/>
          <w:szCs w:val="32"/>
          <w:highlight w:val="none"/>
          <w:lang w:val="en-US" w:eastAsia="zh-CN"/>
        </w:rPr>
        <w:t xml:space="preserve">    八、</w:t>
      </w:r>
      <w:r>
        <w:rPr>
          <w:rFonts w:hint="eastAsia" w:ascii="仿宋" w:hAnsi="仿宋" w:eastAsia="仿宋" w:cs="仿宋"/>
          <w:color w:val="auto"/>
          <w:spacing w:val="2"/>
          <w:kern w:val="2"/>
          <w:sz w:val="32"/>
          <w:szCs w:val="32"/>
          <w:highlight w:val="none"/>
          <w:lang w:val="en-US" w:eastAsia="zh-CN" w:bidi="ar-SA"/>
        </w:rPr>
        <w:t>如本项目采购过程中需要提供样品，则我公司提供的样品即为成交后将要提供的成交产品，我公司对提供样品的性能和质量负责，因样品存在缺陷或者不符合谈判文件要求导致未能成交的，我公司愿意承担相应不利后果。</w:t>
      </w:r>
    </w:p>
    <w:p>
      <w:pPr>
        <w:snapToGrid w:val="0"/>
        <w:spacing w:line="240" w:lineRule="auto"/>
        <w:ind w:firstLine="648" w:firstLineChars="200"/>
        <w:contextualSpacing/>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本公司对上述承诺的内容事项真实性负责。如经查实上述承诺的内容事项存在虚假，我公司愿意接受以提供虚假材料谋取成交追究法律责任。</w:t>
      </w:r>
    </w:p>
    <w:p>
      <w:pPr>
        <w:pStyle w:val="30"/>
        <w:rPr>
          <w:rFonts w:hint="eastAsia" w:ascii="仿宋" w:hAnsi="仿宋" w:eastAsia="仿宋" w:cs="仿宋"/>
          <w:color w:val="auto"/>
          <w:sz w:val="32"/>
          <w:szCs w:val="32"/>
          <w:highlight w:val="none"/>
        </w:rPr>
      </w:pPr>
    </w:p>
    <w:p>
      <w:pPr>
        <w:rPr>
          <w:rFonts w:hint="eastAsia"/>
          <w:color w:val="auto"/>
          <w:highlight w:val="none"/>
        </w:rPr>
      </w:pPr>
    </w:p>
    <w:p>
      <w:pPr>
        <w:snapToGrid w:val="0"/>
        <w:spacing w:line="360" w:lineRule="auto"/>
        <w:ind w:firstLine="2916" w:firstLineChars="900"/>
        <w:contextualSpacing/>
        <w:jc w:val="right"/>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供应商名称（单位公章）：XXXX</w:t>
      </w:r>
    </w:p>
    <w:p>
      <w:pPr>
        <w:snapToGrid w:val="0"/>
        <w:spacing w:line="360" w:lineRule="auto"/>
        <w:contextualSpacing/>
        <w:jc w:val="right"/>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法定代表人或授权代表（签字或加盖个人名章）：XXXX</w:t>
      </w:r>
    </w:p>
    <w:p>
      <w:pPr>
        <w:snapToGrid w:val="0"/>
        <w:spacing w:line="360" w:lineRule="auto"/>
        <w:ind w:firstLine="2916" w:firstLineChars="900"/>
        <w:contextualSpacing/>
        <w:jc w:val="right"/>
        <w:rPr>
          <w:rFonts w:hint="eastAsia" w:ascii="黑体" w:hAnsi="黑体" w:eastAsia="黑体" w:cs="黑体"/>
          <w:color w:val="auto"/>
          <w:spacing w:val="2"/>
          <w:sz w:val="28"/>
          <w:szCs w:val="28"/>
          <w:highlight w:val="none"/>
        </w:rPr>
      </w:pPr>
      <w:r>
        <w:rPr>
          <w:rFonts w:hint="eastAsia" w:ascii="仿宋" w:hAnsi="仿宋" w:eastAsia="仿宋" w:cs="仿宋"/>
          <w:color w:val="auto"/>
          <w:spacing w:val="2"/>
          <w:sz w:val="32"/>
          <w:szCs w:val="32"/>
          <w:highlight w:val="none"/>
        </w:rPr>
        <w:t>日期：</w:t>
      </w:r>
      <w:r>
        <w:rPr>
          <w:rFonts w:hint="eastAsia" w:ascii="仿宋" w:hAnsi="仿宋" w:eastAsia="仿宋" w:cs="仿宋"/>
          <w:color w:val="auto"/>
          <w:kern w:val="2"/>
          <w:sz w:val="32"/>
          <w:szCs w:val="32"/>
          <w:highlight w:val="none"/>
        </w:rPr>
        <w:t>202</w:t>
      </w:r>
      <w:r>
        <w:rPr>
          <w:rFonts w:hint="eastAsia" w:ascii="仿宋" w:hAnsi="仿宋" w:eastAsia="仿宋" w:cs="仿宋"/>
          <w:color w:val="auto"/>
          <w:kern w:val="2"/>
          <w:sz w:val="32"/>
          <w:szCs w:val="32"/>
          <w:highlight w:val="none"/>
          <w:lang w:val="en-US" w:eastAsia="zh-CN"/>
        </w:rPr>
        <w:t>6</w:t>
      </w:r>
      <w:r>
        <w:rPr>
          <w:rFonts w:hint="eastAsia" w:ascii="仿宋" w:hAnsi="仿宋" w:eastAsia="仿宋" w:cs="仿宋"/>
          <w:color w:val="auto"/>
          <w:kern w:val="2"/>
          <w:sz w:val="32"/>
          <w:szCs w:val="32"/>
          <w:highlight w:val="none"/>
        </w:rPr>
        <w:t>年  月  日</w:t>
      </w:r>
    </w:p>
    <w:p>
      <w:pPr>
        <w:pStyle w:val="6"/>
        <w:adjustRightInd w:val="0"/>
        <w:snapToGrid w:val="0"/>
        <w:spacing w:after="0" w:line="360" w:lineRule="auto"/>
        <w:ind w:firstLine="560" w:firstLineChars="200"/>
        <w:rPr>
          <w:rFonts w:hint="eastAsia" w:ascii="黑体" w:hAnsi="黑体" w:eastAsia="黑体" w:cs="黑体"/>
          <w:color w:val="auto"/>
          <w:sz w:val="28"/>
          <w:szCs w:val="28"/>
          <w:highlight w:val="none"/>
          <w:lang w:eastAsia="zh-CN"/>
        </w:rPr>
      </w:pPr>
    </w:p>
    <w:p>
      <w:pPr>
        <w:pStyle w:val="6"/>
        <w:adjustRightInd w:val="0"/>
        <w:snapToGrid w:val="0"/>
        <w:spacing w:after="0" w:line="360" w:lineRule="auto"/>
        <w:ind w:firstLine="560" w:firstLineChars="200"/>
        <w:rPr>
          <w:rFonts w:hint="eastAsia" w:ascii="黑体" w:hAnsi="黑体" w:eastAsia="黑体" w:cs="黑体"/>
          <w:color w:val="auto"/>
          <w:sz w:val="28"/>
          <w:szCs w:val="28"/>
          <w:highlight w:val="none"/>
          <w:lang w:eastAsia="zh-CN"/>
        </w:rPr>
      </w:pPr>
    </w:p>
    <w:bookmarkEnd w:id="4"/>
    <w:bookmarkEnd w:id="5"/>
    <w:bookmarkEnd w:id="6"/>
    <w:bookmarkEnd w:id="7"/>
    <w:p>
      <w:pPr>
        <w:spacing w:beforeLines="100" w:afterLines="200" w:line="320" w:lineRule="exact"/>
        <w:jc w:val="center"/>
        <w:rPr>
          <w:rFonts w:hint="eastAsia" w:ascii="黑体" w:hAnsi="黑体" w:eastAsia="黑体" w:cs="黑体"/>
          <w:color w:val="auto"/>
          <w:sz w:val="40"/>
          <w:szCs w:val="40"/>
          <w:highlight w:val="none"/>
        </w:rPr>
      </w:pPr>
      <w:bookmarkStart w:id="8" w:name="_Toc16184"/>
      <w:bookmarkStart w:id="9" w:name="_Toc1800"/>
      <w:bookmarkStart w:id="10" w:name="_Toc439699522"/>
      <w:bookmarkStart w:id="11" w:name="_Toc199"/>
      <w:bookmarkStart w:id="12" w:name="_Toc12426"/>
      <w:bookmarkStart w:id="13" w:name="_Toc1287"/>
      <w:bookmarkStart w:id="14" w:name="_Toc24199"/>
      <w:r>
        <w:rPr>
          <w:rFonts w:hint="eastAsia" w:ascii="黑体" w:hAnsi="黑体" w:eastAsia="黑体" w:cs="黑体"/>
          <w:color w:val="auto"/>
          <w:highlight w:val="none"/>
        </w:rPr>
        <w:br w:type="page"/>
      </w:r>
      <w:bookmarkEnd w:id="8"/>
      <w:bookmarkEnd w:id="9"/>
      <w:bookmarkEnd w:id="10"/>
      <w:bookmarkEnd w:id="11"/>
      <w:bookmarkEnd w:id="12"/>
      <w:bookmarkEnd w:id="13"/>
      <w:bookmarkEnd w:id="14"/>
      <w:r>
        <w:rPr>
          <w:rFonts w:hint="eastAsia" w:ascii="黑体" w:hAnsi="黑体" w:eastAsia="黑体" w:cs="黑体"/>
          <w:color w:val="auto"/>
          <w:sz w:val="40"/>
          <w:szCs w:val="40"/>
          <w:highlight w:val="none"/>
        </w:rPr>
        <w:t>购销廉洁、诚信承诺书</w:t>
      </w:r>
    </w:p>
    <w:p>
      <w:pPr>
        <w:pStyle w:val="28"/>
        <w:spacing w:line="240" w:lineRule="auto"/>
        <w:ind w:left="0" w:leftChars="0" w:firstLine="0" w:firstLineChars="0"/>
        <w:rPr>
          <w:rFonts w:hint="eastAsia" w:ascii="仿宋" w:hAnsi="仿宋" w:eastAsia="仿宋" w:cs="仿宋"/>
          <w:color w:val="auto"/>
          <w:sz w:val="32"/>
          <w:szCs w:val="32"/>
          <w:highlight w:val="none"/>
        </w:rPr>
      </w:pPr>
      <w:bookmarkStart w:id="15" w:name="_Toc5468"/>
      <w:r>
        <w:rPr>
          <w:rFonts w:hint="eastAsia" w:ascii="仿宋" w:hAnsi="仿宋" w:eastAsia="仿宋" w:cs="仿宋"/>
          <w:color w:val="auto"/>
          <w:sz w:val="32"/>
          <w:szCs w:val="32"/>
          <w:highlight w:val="none"/>
        </w:rPr>
        <w:t>乐山市</w:t>
      </w:r>
      <w:r>
        <w:rPr>
          <w:rFonts w:hint="eastAsia" w:ascii="仿宋" w:hAnsi="仿宋" w:eastAsia="仿宋" w:cs="仿宋"/>
          <w:color w:val="auto"/>
          <w:sz w:val="32"/>
          <w:szCs w:val="32"/>
          <w:highlight w:val="none"/>
          <w:lang w:eastAsia="zh-CN"/>
        </w:rPr>
        <w:t>五通桥区</w:t>
      </w:r>
      <w:r>
        <w:rPr>
          <w:rFonts w:hint="eastAsia" w:ascii="仿宋" w:hAnsi="仿宋" w:eastAsia="仿宋" w:cs="仿宋"/>
          <w:color w:val="auto"/>
          <w:sz w:val="32"/>
          <w:szCs w:val="32"/>
          <w:highlight w:val="none"/>
        </w:rPr>
        <w:t>人民医院：</w:t>
      </w:r>
    </w:p>
    <w:p>
      <w:pPr>
        <w:pStyle w:val="28"/>
        <w:spacing w:line="240" w:lineRule="auto"/>
        <w:ind w:left="0" w:leftChars="0"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为进一步加强医疗卫生行风建设，规范医疗卫生机构购销行为，有效防范商业贿赂行为，营造公平交易、诚实守信的购销环境，我公司特作出以下承诺，并严格遵守：</w:t>
      </w:r>
    </w:p>
    <w:p>
      <w:pPr>
        <w:pStyle w:val="28"/>
        <w:spacing w:line="240" w:lineRule="auto"/>
        <w:ind w:left="0" w:leftChars="0"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一、本公司严格按照《</w:t>
      </w:r>
      <w:r>
        <w:rPr>
          <w:rFonts w:hint="eastAsia" w:ascii="仿宋" w:hAnsi="仿宋" w:eastAsia="仿宋" w:cs="仿宋"/>
          <w:color w:val="auto"/>
          <w:sz w:val="32"/>
          <w:szCs w:val="32"/>
          <w:highlight w:val="none"/>
          <w:lang w:eastAsia="zh-CN"/>
        </w:rPr>
        <w:t>民法典</w:t>
      </w:r>
      <w:r>
        <w:rPr>
          <w:rFonts w:hint="eastAsia" w:ascii="仿宋" w:hAnsi="仿宋" w:eastAsia="仿宋" w:cs="仿宋"/>
          <w:color w:val="auto"/>
          <w:sz w:val="32"/>
          <w:szCs w:val="32"/>
          <w:highlight w:val="none"/>
        </w:rPr>
        <w:t>》及购销合同约定购销相关产品。</w:t>
      </w:r>
    </w:p>
    <w:p>
      <w:pPr>
        <w:pStyle w:val="28"/>
        <w:spacing w:line="240" w:lineRule="auto"/>
        <w:ind w:left="0" w:leftChars="0"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本公司不得以任何名义和形式的回扣、宴请等方式影响医院工作人员采购或使用产品的选择权，不得向医院工作人员安排娱乐活动，以及提供现金、有价证券、支付凭证和贵重礼品，不得在学术活动中提供旅游、超标准支付食宿费用。</w:t>
      </w:r>
    </w:p>
    <w:p>
      <w:pPr>
        <w:pStyle w:val="28"/>
        <w:spacing w:line="240" w:lineRule="auto"/>
        <w:ind w:left="0" w:leftChars="0"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三、本公司指定              （联系电话：          ）作为销售代表洽谈业务。销售代表严格在工作时间到医院指定地点联系商谈，不得到住院部、门诊部、医技科室等推销相关产品，不得借故到医院相关领导、部门负责人及相关工作人员家中访谈并提供任何好处费。</w:t>
      </w:r>
    </w:p>
    <w:p>
      <w:pPr>
        <w:pStyle w:val="28"/>
        <w:spacing w:line="240" w:lineRule="auto"/>
        <w:ind w:left="0" w:leftChars="0"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四、本公司在参加甲方组织的采购活动中，坚持公开、公平、公正和诚实信用的原则，按照医院对经销商资质管理规定和报价要求，备齐所需资料，并保证投标（报价）文件中所提供的全部材料真实、有效和合法，不伪造、变造所提供的相关价格依据（如公司向省内上级或同级医院的销售发票、应税劳务清单、购销合同、公司进货发票复印件以及其它有效价格证明等），不提供虚假信息，不以弄虚作假的方式骗取中标或成交资格。</w:t>
      </w:r>
    </w:p>
    <w:p>
      <w:pPr>
        <w:pStyle w:val="28"/>
        <w:spacing w:line="240" w:lineRule="auto"/>
        <w:ind w:left="0" w:leftChars="0"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五、本公司如违反本承诺，愿意接受医院相关处罚规定。</w:t>
      </w:r>
    </w:p>
    <w:p>
      <w:pPr>
        <w:pStyle w:val="28"/>
        <w:spacing w:line="240" w:lineRule="auto"/>
        <w:ind w:left="0" w:leftChars="0"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供应商或厂家名称：        （盖章）</w:t>
      </w:r>
    </w:p>
    <w:p>
      <w:pPr>
        <w:pStyle w:val="28"/>
        <w:spacing w:line="24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法定代表人或授权代表（签字）：</w:t>
      </w:r>
    </w:p>
    <w:p>
      <w:pPr>
        <w:pStyle w:val="28"/>
        <w:spacing w:line="240" w:lineRule="auto"/>
        <w:ind w:firstLine="0"/>
        <w:rPr>
          <w:rFonts w:hint="eastAsia" w:ascii="仿宋" w:hAnsi="仿宋" w:eastAsia="仿宋" w:cs="仿宋"/>
          <w:color w:val="auto"/>
          <w:sz w:val="32"/>
          <w:szCs w:val="32"/>
          <w:highlight w:val="none"/>
        </w:rPr>
      </w:pPr>
    </w:p>
    <w:p>
      <w:pPr>
        <w:pStyle w:val="28"/>
        <w:spacing w:line="240" w:lineRule="auto"/>
        <w:ind w:firstLine="0"/>
        <w:rPr>
          <w:rFonts w:hint="eastAsia" w:ascii="仿宋" w:hAnsi="仿宋" w:eastAsia="仿宋" w:cs="仿宋"/>
          <w:color w:val="auto"/>
          <w:sz w:val="32"/>
          <w:szCs w:val="32"/>
          <w:highlight w:val="none"/>
        </w:rPr>
      </w:pPr>
    </w:p>
    <w:p>
      <w:pPr>
        <w:autoSpaceDN w:val="0"/>
        <w:spacing w:line="240" w:lineRule="auto"/>
        <w:ind w:firstLine="640" w:firstLineChars="200"/>
        <w:jc w:val="right"/>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日期：202</w:t>
      </w:r>
      <w:r>
        <w:rPr>
          <w:rFonts w:hint="eastAsia" w:ascii="仿宋" w:hAnsi="仿宋" w:eastAsia="仿宋" w:cs="仿宋"/>
          <w:color w:val="auto"/>
          <w:kern w:val="2"/>
          <w:sz w:val="32"/>
          <w:szCs w:val="32"/>
          <w:highlight w:val="none"/>
          <w:lang w:val="en-US" w:eastAsia="zh-CN"/>
        </w:rPr>
        <w:t>6</w:t>
      </w:r>
      <w:r>
        <w:rPr>
          <w:rFonts w:hint="eastAsia" w:ascii="仿宋" w:hAnsi="仿宋" w:eastAsia="仿宋" w:cs="仿宋"/>
          <w:color w:val="auto"/>
          <w:kern w:val="2"/>
          <w:sz w:val="32"/>
          <w:szCs w:val="32"/>
          <w:highlight w:val="none"/>
        </w:rPr>
        <w:t>年  月  日</w:t>
      </w:r>
      <w:bookmarkEnd w:id="15"/>
    </w:p>
    <w:p>
      <w:pPr>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br w:type="page"/>
      </w:r>
    </w:p>
    <w:p>
      <w:pPr>
        <w:numPr>
          <w:ilvl w:val="0"/>
          <w:numId w:val="2"/>
        </w:numPr>
        <w:jc w:val="center"/>
        <w:rPr>
          <w:rFonts w:hint="eastAsia" w:ascii="黑体" w:hAnsi="黑体" w:eastAsia="黑体" w:cs="黑体"/>
          <w:b/>
          <w:color w:val="auto"/>
          <w:sz w:val="36"/>
          <w:szCs w:val="36"/>
          <w:highlight w:val="none"/>
          <w:lang w:val="en-US" w:eastAsia="zh-CN"/>
        </w:rPr>
      </w:pPr>
      <w:r>
        <w:rPr>
          <w:rFonts w:hint="eastAsia" w:ascii="黑体" w:hAnsi="黑体" w:eastAsia="黑体" w:cs="黑体"/>
          <w:b/>
          <w:color w:val="auto"/>
          <w:sz w:val="36"/>
          <w:szCs w:val="36"/>
          <w:highlight w:val="none"/>
          <w:lang w:val="en-US" w:eastAsia="zh-CN"/>
        </w:rPr>
        <w:t>采购资质要求</w:t>
      </w:r>
    </w:p>
    <w:p>
      <w:pPr>
        <w:pStyle w:val="6"/>
        <w:rPr>
          <w:rFonts w:hint="eastAsia" w:ascii="黑体" w:hAnsi="黑体" w:eastAsia="黑体" w:cs="黑体"/>
          <w:b/>
          <w:color w:val="auto"/>
          <w:sz w:val="36"/>
          <w:szCs w:val="36"/>
          <w:highlight w:val="none"/>
          <w:lang w:val="en-US" w:eastAsia="zh-CN"/>
        </w:rPr>
      </w:pPr>
    </w:p>
    <w:p>
      <w:pPr>
        <w:numPr>
          <w:ilvl w:val="0"/>
          <w:numId w:val="0"/>
        </w:numPr>
        <w:ind w:firstLine="640" w:firstLineChars="200"/>
        <w:jc w:val="both"/>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资格性文件：供应商应当提供的资格要求的相关证明材料</w:t>
      </w:r>
      <w:r>
        <w:rPr>
          <w:rFonts w:hint="eastAsia" w:ascii="仿宋" w:hAnsi="仿宋" w:eastAsia="仿宋" w:cs="仿宋"/>
          <w:color w:val="auto"/>
          <w:sz w:val="32"/>
          <w:szCs w:val="32"/>
          <w:highlight w:val="none"/>
          <w:lang w:eastAsia="zh-CN"/>
        </w:rPr>
        <w:t>（缺少一项投标无效处理）</w:t>
      </w:r>
    </w:p>
    <w:tbl>
      <w:tblPr>
        <w:tblStyle w:val="21"/>
        <w:tblpPr w:leftFromText="180" w:rightFromText="180" w:vertAnchor="text" w:horzAnchor="page" w:tblpX="1286" w:tblpY="371"/>
        <w:tblOverlap w:val="never"/>
        <w:tblW w:w="891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5807"/>
        <w:gridCol w:w="91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4" w:hRule="atLeast"/>
          <w:jc w:val="center"/>
        </w:trPr>
        <w:tc>
          <w:tcPr>
            <w:tcW w:w="697" w:type="dxa"/>
            <w:noWrap w:val="0"/>
            <w:vAlign w:val="center"/>
          </w:tcPr>
          <w:p>
            <w:pPr>
              <w:snapToGrid w:val="0"/>
              <w:spacing w:line="240" w:lineRule="auto"/>
              <w:contextualSpacing/>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序号</w:t>
            </w:r>
          </w:p>
        </w:tc>
        <w:tc>
          <w:tcPr>
            <w:tcW w:w="5807" w:type="dxa"/>
            <w:noWrap w:val="0"/>
            <w:vAlign w:val="center"/>
          </w:tcPr>
          <w:p>
            <w:pPr>
              <w:snapToGrid w:val="0"/>
              <w:spacing w:line="240" w:lineRule="auto"/>
              <w:contextualSpacing/>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审查项目</w:t>
            </w:r>
          </w:p>
        </w:tc>
        <w:tc>
          <w:tcPr>
            <w:tcW w:w="916" w:type="dxa"/>
            <w:noWrap w:val="0"/>
            <w:vAlign w:val="center"/>
          </w:tcPr>
          <w:p>
            <w:pPr>
              <w:snapToGrid w:val="0"/>
              <w:spacing w:line="240" w:lineRule="auto"/>
              <w:contextualSpacing/>
              <w:jc w:val="left"/>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合格条件</w:t>
            </w:r>
          </w:p>
        </w:tc>
        <w:tc>
          <w:tcPr>
            <w:tcW w:w="1497" w:type="dxa"/>
            <w:noWrap w:val="0"/>
            <w:vAlign w:val="center"/>
          </w:tcPr>
          <w:p>
            <w:pPr>
              <w:snapToGrid w:val="0"/>
              <w:spacing w:line="240" w:lineRule="auto"/>
              <w:contextualSpacing/>
              <w:jc w:val="left"/>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38" w:hRule="atLeast"/>
          <w:jc w:val="center"/>
        </w:trPr>
        <w:tc>
          <w:tcPr>
            <w:tcW w:w="697" w:type="dxa"/>
            <w:noWrap w:val="0"/>
            <w:vAlign w:val="center"/>
          </w:tcPr>
          <w:p>
            <w:pPr>
              <w:snapToGrid w:val="0"/>
              <w:spacing w:line="240" w:lineRule="auto"/>
              <w:contextualSpacing/>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1</w:t>
            </w:r>
          </w:p>
        </w:tc>
        <w:tc>
          <w:tcPr>
            <w:tcW w:w="5807" w:type="dxa"/>
            <w:noWrap w:val="0"/>
            <w:vAlign w:val="center"/>
          </w:tcPr>
          <w:p>
            <w:pPr>
              <w:snapToGrid w:val="0"/>
              <w:spacing w:line="240" w:lineRule="auto"/>
              <w:contextualSpacing/>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 xml:space="preserve">三证（营业执照、税务登记证、组织机构代码证）副本；三证合一的只须提供营业执照副本；事业单位、社会团体提供法人登记证书复印件 </w:t>
            </w:r>
          </w:p>
        </w:tc>
        <w:tc>
          <w:tcPr>
            <w:tcW w:w="916" w:type="dxa"/>
            <w:noWrap w:val="0"/>
            <w:vAlign w:val="center"/>
          </w:tcPr>
          <w:p>
            <w:pPr>
              <w:snapToGrid w:val="0"/>
              <w:spacing w:line="240" w:lineRule="auto"/>
              <w:contextualSpacing/>
              <w:jc w:val="left"/>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有效</w:t>
            </w:r>
          </w:p>
        </w:tc>
        <w:tc>
          <w:tcPr>
            <w:tcW w:w="1497" w:type="dxa"/>
            <w:noWrap w:val="0"/>
            <w:vAlign w:val="center"/>
          </w:tcPr>
          <w:p>
            <w:pPr>
              <w:snapToGrid w:val="0"/>
              <w:spacing w:line="240" w:lineRule="auto"/>
              <w:contextualSpacing/>
              <w:jc w:val="left"/>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1" w:hRule="atLeast"/>
          <w:jc w:val="center"/>
        </w:trPr>
        <w:tc>
          <w:tcPr>
            <w:tcW w:w="697" w:type="dxa"/>
            <w:noWrap w:val="0"/>
            <w:vAlign w:val="center"/>
          </w:tcPr>
          <w:p>
            <w:pPr>
              <w:snapToGrid w:val="0"/>
              <w:spacing w:line="240" w:lineRule="auto"/>
              <w:contextualSpacing/>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2</w:t>
            </w:r>
          </w:p>
        </w:tc>
        <w:tc>
          <w:tcPr>
            <w:tcW w:w="5807" w:type="dxa"/>
            <w:noWrap w:val="0"/>
            <w:vAlign w:val="center"/>
          </w:tcPr>
          <w:p>
            <w:pPr>
              <w:snapToGrid w:val="0"/>
              <w:spacing w:line="240" w:lineRule="auto"/>
              <w:contextualSpacing/>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提供承诺，购销廉洁、诚信承</w:t>
            </w:r>
            <w:r>
              <w:rPr>
                <w:rFonts w:hint="eastAsia" w:ascii="仿宋" w:hAnsi="仿宋" w:eastAsia="仿宋" w:cs="仿宋"/>
                <w:color w:val="auto"/>
                <w:spacing w:val="2"/>
                <w:sz w:val="32"/>
                <w:szCs w:val="32"/>
                <w:highlight w:val="none"/>
                <w:lang w:val="en-US" w:eastAsia="zh-CN"/>
              </w:rPr>
              <w:t xml:space="preserve"> </w:t>
            </w:r>
            <w:r>
              <w:rPr>
                <w:rFonts w:hint="eastAsia" w:ascii="仿宋" w:hAnsi="仿宋" w:eastAsia="仿宋" w:cs="仿宋"/>
                <w:color w:val="auto"/>
                <w:spacing w:val="2"/>
                <w:sz w:val="32"/>
                <w:szCs w:val="32"/>
                <w:highlight w:val="none"/>
                <w:lang w:eastAsia="zh-CN"/>
              </w:rPr>
              <w:t>诺书</w:t>
            </w:r>
          </w:p>
        </w:tc>
        <w:tc>
          <w:tcPr>
            <w:tcW w:w="916" w:type="dxa"/>
            <w:noWrap w:val="0"/>
            <w:vAlign w:val="center"/>
          </w:tcPr>
          <w:p>
            <w:pPr>
              <w:snapToGrid w:val="0"/>
              <w:spacing w:line="240" w:lineRule="auto"/>
              <w:contextualSpacing/>
              <w:jc w:val="left"/>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有效</w:t>
            </w:r>
          </w:p>
        </w:tc>
        <w:tc>
          <w:tcPr>
            <w:tcW w:w="1497" w:type="dxa"/>
            <w:noWrap w:val="0"/>
            <w:vAlign w:val="center"/>
          </w:tcPr>
          <w:p>
            <w:pPr>
              <w:snapToGrid w:val="0"/>
              <w:spacing w:line="240" w:lineRule="auto"/>
              <w:contextualSpacing/>
              <w:jc w:val="left"/>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val="en-US" w:eastAsia="zh-CN"/>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1" w:hRule="atLeast"/>
          <w:jc w:val="center"/>
        </w:trPr>
        <w:tc>
          <w:tcPr>
            <w:tcW w:w="697" w:type="dxa"/>
            <w:noWrap w:val="0"/>
            <w:vAlign w:val="center"/>
          </w:tcPr>
          <w:p>
            <w:pPr>
              <w:snapToGrid w:val="0"/>
              <w:spacing w:line="240" w:lineRule="auto"/>
              <w:contextualSpacing/>
              <w:rPr>
                <w:rFonts w:hint="eastAsia" w:ascii="仿宋" w:hAnsi="仿宋" w:eastAsia="仿宋" w:cs="仿宋"/>
                <w:color w:val="auto"/>
                <w:spacing w:val="2"/>
                <w:sz w:val="32"/>
                <w:szCs w:val="32"/>
                <w:highlight w:val="none"/>
                <w:lang w:eastAsia="zh-CN"/>
              </w:rPr>
            </w:pPr>
            <w:r>
              <w:rPr>
                <w:rFonts w:hint="eastAsia" w:ascii="仿宋" w:hAnsi="仿宋" w:eastAsia="仿宋" w:cs="仿宋"/>
                <w:color w:val="auto"/>
                <w:spacing w:val="2"/>
                <w:sz w:val="32"/>
                <w:szCs w:val="32"/>
                <w:highlight w:val="none"/>
                <w:lang w:eastAsia="zh-CN"/>
              </w:rPr>
              <w:t>3</w:t>
            </w:r>
          </w:p>
        </w:tc>
        <w:tc>
          <w:tcPr>
            <w:tcW w:w="5807" w:type="dxa"/>
            <w:shd w:val="clear" w:color="auto" w:fill="auto"/>
            <w:noWrap w:val="0"/>
            <w:vAlign w:val="center"/>
          </w:tcPr>
          <w:p>
            <w:pPr>
              <w:snapToGrid w:val="0"/>
              <w:spacing w:line="240" w:lineRule="auto"/>
              <w:contextualSpacing/>
              <w:rPr>
                <w:rFonts w:hint="eastAsia" w:ascii="仿宋" w:hAnsi="仿宋" w:eastAsia="仿宋" w:cs="仿宋"/>
                <w:color w:val="auto"/>
                <w:spacing w:val="2"/>
                <w:kern w:val="2"/>
                <w:sz w:val="32"/>
                <w:szCs w:val="32"/>
                <w:highlight w:val="none"/>
                <w:lang w:val="en-US" w:eastAsia="zh-CN" w:bidi="ar-SA"/>
              </w:rPr>
            </w:pPr>
            <w:r>
              <w:rPr>
                <w:rFonts w:hint="eastAsia" w:ascii="仿宋" w:hAnsi="仿宋" w:eastAsia="仿宋" w:cs="仿宋"/>
                <w:color w:val="auto"/>
                <w:spacing w:val="2"/>
                <w:sz w:val="32"/>
                <w:szCs w:val="32"/>
                <w:highlight w:val="none"/>
                <w:lang w:eastAsia="zh-CN"/>
              </w:rPr>
              <w:t>法定代表人授权委托书（法定代表人参与的须提供法定代表人证明书），法定代表人和授权代表的身份证</w:t>
            </w:r>
          </w:p>
        </w:tc>
        <w:tc>
          <w:tcPr>
            <w:tcW w:w="916" w:type="dxa"/>
            <w:shd w:val="clear" w:color="auto" w:fill="auto"/>
            <w:noWrap w:val="0"/>
            <w:vAlign w:val="center"/>
          </w:tcPr>
          <w:p>
            <w:pPr>
              <w:snapToGrid w:val="0"/>
              <w:spacing w:line="240" w:lineRule="auto"/>
              <w:contextualSpacing/>
              <w:jc w:val="left"/>
              <w:rPr>
                <w:rFonts w:hint="eastAsia" w:ascii="仿宋" w:hAnsi="仿宋" w:eastAsia="仿宋" w:cs="仿宋"/>
                <w:color w:val="auto"/>
                <w:spacing w:val="2"/>
                <w:kern w:val="2"/>
                <w:sz w:val="32"/>
                <w:szCs w:val="32"/>
                <w:highlight w:val="none"/>
                <w:lang w:val="en-US" w:eastAsia="zh-CN" w:bidi="ar-SA"/>
              </w:rPr>
            </w:pPr>
            <w:r>
              <w:rPr>
                <w:rFonts w:hint="eastAsia" w:ascii="仿宋" w:hAnsi="仿宋" w:eastAsia="仿宋" w:cs="仿宋"/>
                <w:color w:val="auto"/>
                <w:spacing w:val="2"/>
                <w:sz w:val="32"/>
                <w:szCs w:val="32"/>
                <w:highlight w:val="none"/>
                <w:lang w:eastAsia="zh-CN"/>
              </w:rPr>
              <w:t>有效</w:t>
            </w:r>
          </w:p>
        </w:tc>
        <w:tc>
          <w:tcPr>
            <w:tcW w:w="1497" w:type="dxa"/>
            <w:shd w:val="clear" w:color="auto" w:fill="auto"/>
            <w:noWrap w:val="0"/>
            <w:vAlign w:val="center"/>
          </w:tcPr>
          <w:p>
            <w:pPr>
              <w:snapToGrid w:val="0"/>
              <w:spacing w:line="240" w:lineRule="auto"/>
              <w:contextualSpacing/>
              <w:jc w:val="left"/>
              <w:rPr>
                <w:rFonts w:hint="eastAsia" w:ascii="仿宋" w:hAnsi="仿宋" w:eastAsia="仿宋" w:cs="仿宋"/>
                <w:color w:val="auto"/>
                <w:spacing w:val="2"/>
                <w:kern w:val="2"/>
                <w:sz w:val="32"/>
                <w:szCs w:val="32"/>
                <w:highlight w:val="none"/>
                <w:lang w:val="en-US" w:eastAsia="zh-CN" w:bidi="ar-SA"/>
              </w:rPr>
            </w:pPr>
            <w:r>
              <w:rPr>
                <w:rFonts w:hint="eastAsia" w:ascii="仿宋" w:hAnsi="仿宋" w:eastAsia="仿宋" w:cs="仿宋"/>
                <w:color w:val="auto"/>
                <w:spacing w:val="2"/>
                <w:sz w:val="32"/>
                <w:szCs w:val="32"/>
                <w:highlight w:val="none"/>
                <w:lang w:eastAsia="zh-CN"/>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697" w:type="dxa"/>
            <w:noWrap w:val="0"/>
            <w:vAlign w:val="center"/>
          </w:tcPr>
          <w:p>
            <w:pPr>
              <w:snapToGrid w:val="0"/>
              <w:spacing w:line="240" w:lineRule="auto"/>
              <w:contextualSpacing/>
              <w:rPr>
                <w:rFonts w:hint="default" w:ascii="仿宋" w:hAnsi="仿宋" w:eastAsia="仿宋" w:cs="仿宋"/>
                <w:color w:val="auto"/>
                <w:spacing w:val="2"/>
                <w:sz w:val="32"/>
                <w:szCs w:val="32"/>
                <w:highlight w:val="none"/>
                <w:lang w:val="en-US" w:eastAsia="zh-CN"/>
              </w:rPr>
            </w:pPr>
            <w:r>
              <w:rPr>
                <w:rFonts w:hint="eastAsia" w:ascii="仿宋" w:hAnsi="仿宋" w:eastAsia="仿宋" w:cs="仿宋"/>
                <w:color w:val="auto"/>
                <w:spacing w:val="2"/>
                <w:sz w:val="32"/>
                <w:szCs w:val="32"/>
                <w:highlight w:val="none"/>
                <w:lang w:val="en-US" w:eastAsia="zh-CN"/>
              </w:rPr>
              <w:t>4</w:t>
            </w:r>
          </w:p>
        </w:tc>
        <w:tc>
          <w:tcPr>
            <w:tcW w:w="5807" w:type="dxa"/>
            <w:noWrap w:val="0"/>
            <w:vAlign w:val="center"/>
          </w:tcPr>
          <w:p>
            <w:pPr>
              <w:snapToGrid w:val="0"/>
              <w:contextualSpacing/>
              <w:rPr>
                <w:rFonts w:hint="eastAsia" w:ascii="仿宋" w:hAnsi="仿宋" w:eastAsia="仿宋" w:cs="仿宋"/>
                <w:color w:val="auto"/>
                <w:spacing w:val="2"/>
                <w:sz w:val="32"/>
                <w:szCs w:val="32"/>
                <w:highlight w:val="none"/>
                <w:lang w:eastAsia="zh-CN"/>
              </w:rPr>
            </w:pPr>
            <w:r>
              <w:rPr>
                <w:rFonts w:hint="eastAsia" w:ascii="仿宋" w:hAnsi="仿宋" w:eastAsia="仿宋" w:cs="仿宋"/>
                <w:color w:val="000000"/>
                <w:spacing w:val="2"/>
                <w:sz w:val="32"/>
                <w:szCs w:val="32"/>
              </w:rPr>
              <w:t>供应商通过“信用中国”</w:t>
            </w:r>
            <w:r>
              <w:rPr>
                <w:rFonts w:hint="eastAsia" w:ascii="仿宋" w:hAnsi="仿宋" w:eastAsia="仿宋" w:cs="仿宋"/>
                <w:color w:val="000000"/>
                <w:spacing w:val="2"/>
                <w:sz w:val="32"/>
                <w:szCs w:val="32"/>
                <w:lang w:eastAsia="zh-CN"/>
              </w:rPr>
              <w:t>（</w:t>
            </w:r>
            <w:r>
              <w:fldChar w:fldCharType="begin"/>
            </w:r>
            <w:r>
              <w:instrText xml:space="preserve"> HYPERLINK "http://www.creditchina.gov.cn)" </w:instrText>
            </w:r>
            <w:r>
              <w:fldChar w:fldCharType="separate"/>
            </w:r>
            <w:r>
              <w:rPr>
                <w:rFonts w:hint="eastAsia" w:ascii="仿宋" w:hAnsi="仿宋" w:eastAsia="仿宋" w:cs="仿宋"/>
                <w:color w:val="000000"/>
                <w:spacing w:val="2"/>
                <w:sz w:val="32"/>
                <w:szCs w:val="32"/>
              </w:rPr>
              <w:t>www.creditchina.gov.cn</w:t>
            </w:r>
            <w:r>
              <w:rPr>
                <w:rFonts w:hint="eastAsia" w:ascii="仿宋" w:hAnsi="仿宋" w:eastAsia="仿宋" w:cs="仿宋"/>
                <w:color w:val="000000"/>
                <w:spacing w:val="2"/>
                <w:sz w:val="32"/>
                <w:szCs w:val="32"/>
                <w:lang w:eastAsia="zh-CN"/>
              </w:rPr>
              <w:t>）</w:t>
            </w:r>
            <w:r>
              <w:rPr>
                <w:rFonts w:hint="eastAsia" w:ascii="仿宋" w:hAnsi="仿宋" w:eastAsia="仿宋" w:cs="仿宋"/>
                <w:color w:val="000000"/>
                <w:spacing w:val="2"/>
                <w:sz w:val="32"/>
                <w:szCs w:val="32"/>
              </w:rPr>
              <w:fldChar w:fldCharType="end"/>
            </w:r>
            <w:r>
              <w:rPr>
                <w:rFonts w:hint="eastAsia" w:ascii="仿宋" w:hAnsi="仿宋" w:eastAsia="仿宋" w:cs="仿宋"/>
                <w:color w:val="000000"/>
                <w:spacing w:val="2"/>
                <w:sz w:val="32"/>
                <w:szCs w:val="32"/>
              </w:rPr>
              <w:t>、“中国政府采购网”</w:t>
            </w:r>
            <w:r>
              <w:rPr>
                <w:rFonts w:hint="eastAsia" w:ascii="仿宋" w:hAnsi="仿宋" w:eastAsia="仿宋" w:cs="仿宋"/>
                <w:color w:val="000000"/>
                <w:spacing w:val="2"/>
                <w:sz w:val="32"/>
                <w:szCs w:val="32"/>
                <w:lang w:eastAsia="zh-CN"/>
              </w:rPr>
              <w:t>（</w:t>
            </w:r>
            <w:r>
              <w:rPr>
                <w:rFonts w:hint="eastAsia" w:ascii="仿宋" w:hAnsi="仿宋" w:eastAsia="仿宋" w:cs="仿宋"/>
                <w:color w:val="000000"/>
                <w:spacing w:val="2"/>
                <w:sz w:val="32"/>
                <w:szCs w:val="32"/>
              </w:rPr>
              <w:t>www.ccgp.gov.cn</w:t>
            </w:r>
            <w:r>
              <w:rPr>
                <w:rFonts w:hint="eastAsia" w:ascii="仿宋" w:hAnsi="仿宋" w:eastAsia="仿宋" w:cs="仿宋"/>
                <w:color w:val="000000"/>
                <w:spacing w:val="2"/>
                <w:sz w:val="32"/>
                <w:szCs w:val="32"/>
                <w:lang w:eastAsia="zh-CN"/>
              </w:rPr>
              <w:t>）</w:t>
            </w:r>
            <w:r>
              <w:rPr>
                <w:rFonts w:hint="eastAsia" w:ascii="仿宋" w:hAnsi="仿宋" w:eastAsia="仿宋" w:cs="仿宋"/>
                <w:color w:val="000000"/>
                <w:spacing w:val="2"/>
                <w:sz w:val="32"/>
                <w:szCs w:val="32"/>
              </w:rPr>
              <w:t>网站查询公告发布之日起前三年的信用记录，无不良记录</w:t>
            </w:r>
          </w:p>
        </w:tc>
        <w:tc>
          <w:tcPr>
            <w:tcW w:w="916" w:type="dxa"/>
            <w:noWrap w:val="0"/>
            <w:vAlign w:val="center"/>
          </w:tcPr>
          <w:p>
            <w:pPr>
              <w:snapToGrid w:val="0"/>
              <w:contextualSpacing/>
              <w:rPr>
                <w:rFonts w:hint="eastAsia" w:ascii="仿宋" w:hAnsi="仿宋" w:eastAsia="仿宋" w:cs="仿宋"/>
                <w:color w:val="auto"/>
                <w:spacing w:val="2"/>
                <w:sz w:val="32"/>
                <w:szCs w:val="32"/>
                <w:highlight w:val="none"/>
                <w:lang w:val="en-US" w:eastAsia="zh-CN"/>
              </w:rPr>
            </w:pPr>
            <w:r>
              <w:rPr>
                <w:rFonts w:hint="eastAsia" w:ascii="仿宋" w:hAnsi="仿宋" w:eastAsia="仿宋" w:cs="仿宋"/>
                <w:color w:val="000000"/>
                <w:spacing w:val="2"/>
                <w:sz w:val="32"/>
                <w:szCs w:val="32"/>
              </w:rPr>
              <w:t>有效</w:t>
            </w:r>
          </w:p>
        </w:tc>
        <w:tc>
          <w:tcPr>
            <w:tcW w:w="1497" w:type="dxa"/>
            <w:noWrap w:val="0"/>
            <w:vAlign w:val="center"/>
          </w:tcPr>
          <w:p>
            <w:pPr>
              <w:snapToGrid w:val="0"/>
              <w:contextualSpacing/>
              <w:rPr>
                <w:rFonts w:hint="eastAsia" w:ascii="仿宋" w:hAnsi="仿宋" w:eastAsia="仿宋" w:cs="仿宋"/>
                <w:color w:val="auto"/>
                <w:spacing w:val="2"/>
                <w:sz w:val="32"/>
                <w:szCs w:val="32"/>
                <w:highlight w:val="none"/>
                <w:lang w:val="en-US" w:eastAsia="zh-CN"/>
              </w:rPr>
            </w:pPr>
            <w:r>
              <w:rPr>
                <w:rFonts w:hint="eastAsia" w:ascii="仿宋" w:hAnsi="仿宋" w:eastAsia="仿宋" w:cs="仿宋"/>
                <w:color w:val="000000"/>
                <w:spacing w:val="2"/>
                <w:sz w:val="32"/>
                <w:szCs w:val="32"/>
              </w:rPr>
              <w:t>网页截图盖公章</w:t>
            </w:r>
          </w:p>
        </w:tc>
      </w:tr>
    </w:tbl>
    <w:p>
      <w:pPr>
        <w:pStyle w:val="6"/>
        <w:rPr>
          <w:rFonts w:hint="eastAsia" w:ascii="仿宋" w:hAnsi="仿宋" w:eastAsia="仿宋" w:cs="仿宋"/>
          <w:color w:val="auto"/>
          <w:sz w:val="30"/>
          <w:szCs w:val="30"/>
          <w:highlight w:val="none"/>
          <w:lang w:eastAsia="zh-CN"/>
        </w:rPr>
      </w:pPr>
    </w:p>
    <w:p>
      <w:pPr>
        <w:autoSpaceDN w:val="0"/>
        <w:spacing w:line="240" w:lineRule="auto"/>
        <w:ind w:firstLine="6560" w:firstLineChars="2050"/>
        <w:rPr>
          <w:rFonts w:hint="eastAsia" w:ascii="仿宋" w:hAnsi="仿宋" w:eastAsia="仿宋" w:cs="仿宋"/>
          <w:color w:val="auto"/>
          <w:kern w:val="2"/>
          <w:sz w:val="32"/>
          <w:szCs w:val="32"/>
          <w:highlight w:val="none"/>
        </w:rPr>
      </w:pPr>
    </w:p>
    <w:p>
      <w:pPr>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br w:type="page"/>
      </w:r>
    </w:p>
    <w:p>
      <w:pPr>
        <w:jc w:val="center"/>
        <w:rPr>
          <w:rFonts w:hint="eastAsia" w:ascii="黑体" w:hAnsi="黑体" w:eastAsia="黑体" w:cs="黑体"/>
          <w:color w:val="auto"/>
          <w:sz w:val="36"/>
          <w:szCs w:val="44"/>
          <w:highlight w:val="none"/>
          <w:lang w:val="en-US" w:eastAsia="zh-CN"/>
        </w:rPr>
      </w:pPr>
      <w:r>
        <w:rPr>
          <w:rFonts w:hint="eastAsia" w:ascii="黑体" w:hAnsi="黑体" w:eastAsia="黑体" w:cs="黑体"/>
          <w:b/>
          <w:color w:val="auto"/>
          <w:sz w:val="36"/>
          <w:szCs w:val="36"/>
          <w:highlight w:val="none"/>
        </w:rPr>
        <w:t>第</w:t>
      </w:r>
      <w:r>
        <w:rPr>
          <w:rFonts w:hint="eastAsia" w:ascii="黑体" w:hAnsi="黑体" w:eastAsia="黑体" w:cs="黑体"/>
          <w:b/>
          <w:color w:val="auto"/>
          <w:sz w:val="36"/>
          <w:szCs w:val="36"/>
          <w:highlight w:val="none"/>
          <w:lang w:eastAsia="zh-CN"/>
        </w:rPr>
        <w:t>五</w:t>
      </w:r>
      <w:r>
        <w:rPr>
          <w:rFonts w:hint="eastAsia" w:ascii="黑体" w:hAnsi="黑体" w:eastAsia="黑体" w:cs="黑体"/>
          <w:b/>
          <w:color w:val="auto"/>
          <w:sz w:val="36"/>
          <w:szCs w:val="36"/>
          <w:highlight w:val="none"/>
        </w:rPr>
        <w:t xml:space="preserve">章  </w:t>
      </w:r>
      <w:r>
        <w:rPr>
          <w:rFonts w:hint="eastAsia" w:ascii="黑体" w:hAnsi="黑体" w:eastAsia="黑体" w:cs="黑体"/>
          <w:b/>
          <w:color w:val="auto"/>
          <w:sz w:val="36"/>
          <w:szCs w:val="36"/>
          <w:highlight w:val="none"/>
          <w:lang w:val="en-US" w:eastAsia="zh-CN"/>
        </w:rPr>
        <w:t>采购项目技术、服务及其他商务要求</w:t>
      </w:r>
    </w:p>
    <w:p>
      <w:pPr>
        <w:pStyle w:val="6"/>
        <w:rPr>
          <w:rFonts w:hint="default" w:ascii="黑体" w:hAnsi="黑体" w:eastAsia="黑体" w:cs="黑体"/>
          <w:color w:val="auto"/>
          <w:highlight w:val="none"/>
          <w:lang w:val="en-US" w:eastAsia="zh-CN"/>
        </w:rPr>
      </w:pPr>
    </w:p>
    <w:p>
      <w:pPr>
        <w:pStyle w:val="5"/>
        <w:numPr>
          <w:ilvl w:val="0"/>
          <w:numId w:val="0"/>
        </w:numPr>
        <w:spacing w:line="240" w:lineRule="auto"/>
        <w:ind w:leftChars="0" w:firstLine="640" w:firstLineChars="200"/>
        <w:rPr>
          <w:rFonts w:hint="eastAsia" w:ascii="仿宋" w:hAnsi="仿宋" w:eastAsia="仿宋" w:cs="仿宋"/>
          <w:color w:val="auto"/>
          <w:sz w:val="32"/>
          <w:szCs w:val="32"/>
          <w:highlight w:val="yellow"/>
          <w:lang w:val="en-US" w:eastAsia="zh-CN"/>
        </w:rPr>
      </w:pPr>
      <w:r>
        <w:rPr>
          <w:rFonts w:hint="eastAsia" w:ascii="仿宋" w:hAnsi="仿宋" w:eastAsia="仿宋" w:cs="仿宋"/>
          <w:color w:val="auto"/>
          <w:sz w:val="32"/>
          <w:szCs w:val="32"/>
          <w:highlight w:val="none"/>
          <w:lang w:val="en-US" w:eastAsia="zh-CN"/>
        </w:rPr>
        <w:t>技术要求（实质性要求）：</w:t>
      </w:r>
    </w:p>
    <w:tbl>
      <w:tblPr>
        <w:tblStyle w:val="21"/>
        <w:tblW w:w="9225" w:type="dxa"/>
        <w:tblInd w:w="0" w:type="dxa"/>
        <w:shd w:val="clear" w:color="auto" w:fill="auto"/>
        <w:tblLayout w:type="fixed"/>
        <w:tblCellMar>
          <w:top w:w="0" w:type="dxa"/>
          <w:left w:w="0" w:type="dxa"/>
          <w:bottom w:w="0" w:type="dxa"/>
          <w:right w:w="0" w:type="dxa"/>
        </w:tblCellMar>
      </w:tblPr>
      <w:tblGrid>
        <w:gridCol w:w="779"/>
        <w:gridCol w:w="1488"/>
        <w:gridCol w:w="5925"/>
        <w:gridCol w:w="512"/>
        <w:gridCol w:w="521"/>
      </w:tblGrid>
      <w:tr>
        <w:tblPrEx>
          <w:shd w:val="clear" w:color="auto" w:fill="auto"/>
          <w:tblLayout w:type="fixed"/>
          <w:tblCellMar>
            <w:top w:w="0" w:type="dxa"/>
            <w:left w:w="0" w:type="dxa"/>
            <w:bottom w:w="0" w:type="dxa"/>
            <w:right w:w="0" w:type="dxa"/>
          </w:tblCellMar>
        </w:tblPrEx>
        <w:trPr>
          <w:trHeight w:val="520" w:hRule="atLeast"/>
        </w:trPr>
        <w:tc>
          <w:tcPr>
            <w:tcW w:w="922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8"/>
                <w:szCs w:val="28"/>
                <w:highlight w:val="none"/>
                <w:u w:val="none"/>
              </w:rPr>
            </w:pPr>
            <w:r>
              <w:rPr>
                <w:rFonts w:hint="eastAsia" w:asciiTheme="minorEastAsia" w:hAnsiTheme="minorEastAsia" w:eastAsiaTheme="minorEastAsia" w:cstheme="minorEastAsia"/>
                <w:b/>
                <w:i w:val="0"/>
                <w:color w:val="000000"/>
                <w:kern w:val="0"/>
                <w:sz w:val="28"/>
                <w:szCs w:val="28"/>
                <w:highlight w:val="none"/>
                <w:u w:val="none"/>
                <w:lang w:val="en-US" w:eastAsia="zh-CN" w:bidi="ar"/>
              </w:rPr>
              <w:t>书吧家具采购清单</w:t>
            </w:r>
          </w:p>
        </w:tc>
      </w:tr>
      <w:tr>
        <w:tblPrEx>
          <w:shd w:val="clear" w:color="auto" w:fill="auto"/>
          <w:tblLayout w:type="fixed"/>
          <w:tblCellMar>
            <w:top w:w="0" w:type="dxa"/>
            <w:left w:w="0" w:type="dxa"/>
            <w:bottom w:w="0" w:type="dxa"/>
            <w:right w:w="0" w:type="dxa"/>
          </w:tblCellMar>
        </w:tblPrEx>
        <w:trPr>
          <w:trHeight w:val="487"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2"/>
                <w:szCs w:val="22"/>
                <w:highlight w:val="none"/>
                <w:u w:val="none"/>
              </w:rPr>
            </w:pPr>
            <w:r>
              <w:rPr>
                <w:rStyle w:val="35"/>
                <w:rFonts w:hint="eastAsia" w:asciiTheme="minorEastAsia" w:hAnsiTheme="minorEastAsia" w:eastAsiaTheme="minorEastAsia" w:cstheme="minorEastAsia"/>
                <w:sz w:val="22"/>
                <w:szCs w:val="22"/>
                <w:highlight w:val="none"/>
                <w:lang w:val="en-US" w:eastAsia="zh-CN" w:bidi="ar"/>
              </w:rPr>
              <w:t>产品名称</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2"/>
                <w:szCs w:val="22"/>
                <w:highlight w:val="none"/>
                <w:u w:val="none"/>
              </w:rPr>
            </w:pPr>
            <w:r>
              <w:rPr>
                <w:rStyle w:val="35"/>
                <w:rFonts w:hint="eastAsia" w:asciiTheme="minorEastAsia" w:hAnsiTheme="minorEastAsia" w:eastAsiaTheme="minorEastAsia" w:cstheme="minorEastAsia"/>
                <w:sz w:val="22"/>
                <w:szCs w:val="22"/>
                <w:highlight w:val="none"/>
                <w:lang w:val="en-US" w:eastAsia="zh-CN" w:bidi="ar"/>
              </w:rPr>
              <w:t>规格（长*宽*高)±5mm</w:t>
            </w:r>
          </w:p>
        </w:tc>
        <w:tc>
          <w:tcPr>
            <w:tcW w:w="59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2"/>
                <w:szCs w:val="22"/>
                <w:highlight w:val="none"/>
                <w:u w:val="none"/>
              </w:rPr>
            </w:pPr>
            <w:r>
              <w:rPr>
                <w:rStyle w:val="35"/>
                <w:rFonts w:hint="eastAsia" w:asciiTheme="minorEastAsia" w:hAnsiTheme="minorEastAsia" w:eastAsiaTheme="minorEastAsia" w:cstheme="minorEastAsia"/>
                <w:sz w:val="22"/>
                <w:szCs w:val="22"/>
                <w:highlight w:val="none"/>
                <w:lang w:val="en-US" w:eastAsia="zh-CN" w:bidi="ar"/>
              </w:rPr>
              <w:t>参数</w:t>
            </w:r>
          </w:p>
        </w:tc>
        <w:tc>
          <w:tcPr>
            <w:tcW w:w="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2"/>
                <w:szCs w:val="22"/>
                <w:highlight w:val="none"/>
                <w:u w:val="none"/>
              </w:rPr>
            </w:pPr>
            <w:r>
              <w:rPr>
                <w:rStyle w:val="35"/>
                <w:rFonts w:hint="eastAsia" w:asciiTheme="minorEastAsia" w:hAnsiTheme="minorEastAsia" w:eastAsiaTheme="minorEastAsia" w:cstheme="minorEastAsia"/>
                <w:sz w:val="22"/>
                <w:szCs w:val="22"/>
                <w:highlight w:val="none"/>
                <w:lang w:val="en-US" w:eastAsia="zh-CN" w:bidi="ar"/>
              </w:rPr>
              <w:t>单位</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2"/>
                <w:szCs w:val="22"/>
                <w:highlight w:val="none"/>
                <w:u w:val="none"/>
              </w:rPr>
            </w:pPr>
            <w:r>
              <w:rPr>
                <w:rStyle w:val="35"/>
                <w:rFonts w:hint="eastAsia" w:asciiTheme="minorEastAsia" w:hAnsiTheme="minorEastAsia" w:eastAsiaTheme="minorEastAsia" w:cstheme="minorEastAsia"/>
                <w:sz w:val="22"/>
                <w:szCs w:val="22"/>
                <w:highlight w:val="none"/>
                <w:lang w:val="en-US" w:eastAsia="zh-CN" w:bidi="ar"/>
              </w:rPr>
              <w:t>数量</w:t>
            </w:r>
          </w:p>
        </w:tc>
      </w:tr>
      <w:tr>
        <w:tblPrEx>
          <w:shd w:val="clear" w:color="auto" w:fill="auto"/>
          <w:tblLayout w:type="fixed"/>
          <w:tblCellMar>
            <w:top w:w="0" w:type="dxa"/>
            <w:left w:w="0" w:type="dxa"/>
            <w:bottom w:w="0" w:type="dxa"/>
            <w:right w:w="0" w:type="dxa"/>
          </w:tblCellMar>
        </w:tblPrEx>
        <w:trPr>
          <w:trHeight w:val="25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2"/>
                <w:szCs w:val="22"/>
                <w:highlight w:val="none"/>
                <w:u w:val="none"/>
              </w:rPr>
            </w:pPr>
            <w:r>
              <w:rPr>
                <w:rStyle w:val="36"/>
                <w:rFonts w:hint="eastAsia" w:asciiTheme="minorEastAsia" w:hAnsiTheme="minorEastAsia" w:eastAsiaTheme="minorEastAsia" w:cstheme="minorEastAsia"/>
                <w:sz w:val="22"/>
                <w:szCs w:val="22"/>
                <w:highlight w:val="none"/>
                <w:lang w:val="en-US" w:eastAsia="zh-CN" w:bidi="ar"/>
              </w:rPr>
              <w:t>阅读桌（带阅读灯）</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2"/>
                <w:szCs w:val="22"/>
                <w:highlight w:val="none"/>
                <w:u w:val="none"/>
              </w:rPr>
            </w:pPr>
            <w:r>
              <w:rPr>
                <w:rStyle w:val="36"/>
                <w:rFonts w:hint="eastAsia" w:asciiTheme="minorEastAsia" w:hAnsiTheme="minorEastAsia" w:eastAsiaTheme="minorEastAsia" w:cstheme="minorEastAsia"/>
                <w:sz w:val="22"/>
                <w:szCs w:val="22"/>
                <w:highlight w:val="none"/>
                <w:lang w:val="en-US" w:eastAsia="zh-CN" w:bidi="ar"/>
              </w:rPr>
              <w:t>1600*800*750</w:t>
            </w:r>
          </w:p>
        </w:tc>
        <w:tc>
          <w:tcPr>
            <w:tcW w:w="59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Style w:val="37"/>
                <w:rFonts w:hint="eastAsia" w:asciiTheme="minorEastAsia" w:hAnsiTheme="minorEastAsia" w:eastAsiaTheme="minorEastAsia" w:cstheme="minorEastAsia"/>
                <w:sz w:val="22"/>
                <w:szCs w:val="22"/>
                <w:highlight w:val="none"/>
                <w:lang w:val="en-US" w:eastAsia="zh-CN" w:bidi="ar"/>
              </w:rPr>
            </w:pPr>
            <w:r>
              <w:rPr>
                <w:rStyle w:val="37"/>
                <w:rFonts w:hint="eastAsia" w:asciiTheme="minorEastAsia" w:hAnsiTheme="minorEastAsia" w:eastAsiaTheme="minorEastAsia" w:cstheme="minorEastAsia"/>
                <w:sz w:val="22"/>
                <w:szCs w:val="22"/>
                <w:highlight w:val="none"/>
                <w:lang w:val="en-US" w:eastAsia="zh-CN" w:bidi="ar"/>
              </w:rPr>
              <w:t>1、基材：采用不少于E0级的实木颗粒板</w:t>
            </w:r>
            <w:r>
              <w:rPr>
                <w:rStyle w:val="37"/>
                <w:rFonts w:hint="eastAsia" w:asciiTheme="minorEastAsia" w:hAnsiTheme="minorEastAsia" w:cstheme="minorEastAsia"/>
                <w:sz w:val="22"/>
                <w:szCs w:val="22"/>
                <w:highlight w:val="none"/>
                <w:lang w:val="en-US" w:eastAsia="zh-CN" w:bidi="ar"/>
              </w:rPr>
              <w:t>符合</w:t>
            </w:r>
            <w:r>
              <w:rPr>
                <w:rStyle w:val="37"/>
                <w:rFonts w:hint="eastAsia" w:asciiTheme="minorEastAsia" w:hAnsiTheme="minorEastAsia" w:eastAsiaTheme="minorEastAsia" w:cstheme="minorEastAsia"/>
                <w:sz w:val="22"/>
                <w:szCs w:val="22"/>
                <w:highlight w:val="none"/>
                <w:lang w:val="en-US" w:eastAsia="zh-CN" w:bidi="ar"/>
              </w:rPr>
              <w:t>GB/T15102-2017等标准，密度0.6～0.9g/cm³；静曲强度≥10.5MPa；弹性模量≥1500MPa；内结合强度≥0.3MPa；耐水蒸气达到4级以上；表面胶合强度≥0.6MPa；表面耐磨磨耗值≤80mg/100r；表面耐污染腐蚀达到4级以上；耐光色牢度：蓝色羊毛布6级，达到灰度卡4级。</w:t>
            </w:r>
          </w:p>
          <w:p>
            <w:pPr>
              <w:keepNext w:val="0"/>
              <w:keepLines w:val="0"/>
              <w:widowControl/>
              <w:suppressLineNumbers w:val="0"/>
              <w:jc w:val="left"/>
              <w:textAlignment w:val="center"/>
              <w:rPr>
                <w:rStyle w:val="37"/>
                <w:rFonts w:hint="eastAsia" w:asciiTheme="minorEastAsia" w:hAnsiTheme="minorEastAsia" w:eastAsiaTheme="minorEastAsia" w:cstheme="minorEastAsia"/>
                <w:sz w:val="22"/>
                <w:szCs w:val="22"/>
                <w:highlight w:val="none"/>
                <w:lang w:val="en-US" w:eastAsia="zh-CN" w:bidi="ar"/>
              </w:rPr>
            </w:pPr>
            <w:r>
              <w:rPr>
                <w:rStyle w:val="37"/>
                <w:rFonts w:hint="eastAsia" w:asciiTheme="minorEastAsia" w:hAnsiTheme="minorEastAsia" w:eastAsiaTheme="minorEastAsia" w:cstheme="minorEastAsia"/>
                <w:sz w:val="22"/>
                <w:szCs w:val="22"/>
                <w:highlight w:val="none"/>
                <w:lang w:val="en-US" w:eastAsia="zh-CN" w:bidi="ar"/>
              </w:rPr>
              <w:t>2、覆面：采用三聚氰胺饰面纸</w:t>
            </w:r>
            <w:r>
              <w:rPr>
                <w:rStyle w:val="37"/>
                <w:rFonts w:hint="eastAsia" w:asciiTheme="minorEastAsia" w:hAnsiTheme="minorEastAsia" w:cstheme="minorEastAsia"/>
                <w:sz w:val="22"/>
                <w:szCs w:val="22"/>
                <w:highlight w:val="none"/>
                <w:lang w:val="en-US" w:eastAsia="zh-CN" w:bidi="ar"/>
              </w:rPr>
              <w:t>符合</w:t>
            </w:r>
            <w:r>
              <w:rPr>
                <w:rStyle w:val="37"/>
                <w:rFonts w:hint="eastAsia" w:asciiTheme="minorEastAsia" w:hAnsiTheme="minorEastAsia" w:eastAsiaTheme="minorEastAsia" w:cstheme="minorEastAsia"/>
                <w:sz w:val="22"/>
                <w:szCs w:val="22"/>
                <w:highlight w:val="none"/>
                <w:lang w:val="en-US" w:eastAsia="zh-CN" w:bidi="ar"/>
              </w:rPr>
              <w:t>GB/T28995-2022等标准，外观质量不准许有污斑、漏胶、黏连；挥发物含量5.5～9.5%；挥发物含量偏差-0.5～0.5%；PH值6.5～7.5。</w:t>
            </w:r>
          </w:p>
          <w:p>
            <w:pPr>
              <w:keepNext w:val="0"/>
              <w:keepLines w:val="0"/>
              <w:widowControl/>
              <w:suppressLineNumbers w:val="0"/>
              <w:jc w:val="left"/>
              <w:textAlignment w:val="center"/>
              <w:rPr>
                <w:rStyle w:val="37"/>
                <w:rFonts w:hint="eastAsia" w:asciiTheme="minorEastAsia" w:hAnsiTheme="minorEastAsia" w:eastAsiaTheme="minorEastAsia" w:cstheme="minorEastAsia"/>
                <w:sz w:val="22"/>
                <w:szCs w:val="22"/>
                <w:highlight w:val="none"/>
                <w:lang w:val="en-US" w:eastAsia="zh-CN" w:bidi="ar"/>
              </w:rPr>
            </w:pPr>
            <w:r>
              <w:rPr>
                <w:rStyle w:val="37"/>
                <w:rFonts w:hint="eastAsia" w:asciiTheme="minorEastAsia" w:hAnsiTheme="minorEastAsia" w:eastAsiaTheme="minorEastAsia" w:cstheme="minorEastAsia"/>
                <w:sz w:val="22"/>
                <w:szCs w:val="22"/>
                <w:highlight w:val="none"/>
                <w:lang w:val="en-US" w:eastAsia="zh-CN" w:bidi="ar"/>
              </w:rPr>
              <w:t>3、PVC封边条：封边条外观表面应光滑，花纹应清晰均匀、无漏印。压纹(压花)表面应有统一的花式，且压纹应清晰、均匀；厚度偏差±0.15mm；边缘直线度(长度方向边缘凹形度Smax)≤5mm；耐干热性应无龟裂、无鼓泡；耐龟裂性≥2级；耐冷热循环性：应无龟裂、无鼓泡、无变色、无起皱；耐磨性：磨≥90r后应无露底现象。</w:t>
            </w:r>
          </w:p>
          <w:p>
            <w:pPr>
              <w:keepNext w:val="0"/>
              <w:keepLines w:val="0"/>
              <w:widowControl/>
              <w:suppressLineNumbers w:val="0"/>
              <w:jc w:val="left"/>
              <w:textAlignment w:val="center"/>
              <w:rPr>
                <w:rStyle w:val="37"/>
                <w:rFonts w:hint="eastAsia" w:asciiTheme="minorEastAsia" w:hAnsiTheme="minorEastAsia" w:eastAsiaTheme="minorEastAsia" w:cstheme="minorEastAsia"/>
                <w:sz w:val="22"/>
                <w:szCs w:val="22"/>
                <w:highlight w:val="none"/>
                <w:lang w:val="en-US" w:eastAsia="zh-CN" w:bidi="ar"/>
              </w:rPr>
            </w:pPr>
            <w:r>
              <w:rPr>
                <w:rStyle w:val="37"/>
                <w:rFonts w:hint="eastAsia" w:asciiTheme="minorEastAsia" w:hAnsiTheme="minorEastAsia" w:eastAsiaTheme="minorEastAsia" w:cstheme="minorEastAsia"/>
                <w:sz w:val="22"/>
                <w:szCs w:val="22"/>
                <w:highlight w:val="none"/>
                <w:lang w:val="en-US" w:eastAsia="zh-CN" w:bidi="ar"/>
              </w:rPr>
              <w:t>4、钢脚架：</w:t>
            </w:r>
            <w:r>
              <w:rPr>
                <w:rStyle w:val="37"/>
                <w:rFonts w:hint="eastAsia" w:asciiTheme="minorEastAsia" w:hAnsiTheme="minorEastAsia" w:cstheme="minorEastAsia"/>
                <w:sz w:val="22"/>
                <w:szCs w:val="22"/>
                <w:highlight w:val="none"/>
                <w:lang w:val="en-US" w:eastAsia="zh-CN" w:bidi="ar"/>
              </w:rPr>
              <w:t>符合</w:t>
            </w:r>
            <w:r>
              <w:rPr>
                <w:rStyle w:val="37"/>
                <w:rFonts w:hint="eastAsia" w:asciiTheme="minorEastAsia" w:hAnsiTheme="minorEastAsia" w:eastAsiaTheme="minorEastAsia" w:cstheme="minorEastAsia"/>
                <w:sz w:val="22"/>
                <w:szCs w:val="22"/>
                <w:highlight w:val="none"/>
                <w:lang w:val="en-US" w:eastAsia="zh-CN" w:bidi="ar"/>
              </w:rPr>
              <w:t>GB/T 3325-2024《金属家具通用技术条件》，QB/T4767-2014，GB/T10125-2021，GB/T6461-2002，GB/T11253-2019等标准，管材外观应无裂缝、叠缝，外露管口端面应封闭；冲压件外观应无脱层、裂缝；铆接处的铆接应牢固，无漏铆、脱铆；金属喷漆（塑）涂层冲击强度：冲击高度400mm，应无剥落、裂纹、皱纹；人造气氛腐蚀试验-经不少于120h中性盐雾试验后保护评级及外观评级均达到10级；化学成分（C、Si、Mn、P、S）检测合格；下屈服强度Rₑʟ、断后伸长率检测合格；断后伸长率A≥33%。</w:t>
            </w:r>
          </w:p>
          <w:p>
            <w:pPr>
              <w:keepNext w:val="0"/>
              <w:keepLines w:val="0"/>
              <w:widowControl/>
              <w:suppressLineNumbers w:val="0"/>
              <w:jc w:val="left"/>
              <w:textAlignment w:val="center"/>
              <w:rPr>
                <w:rStyle w:val="37"/>
                <w:rFonts w:hint="eastAsia" w:asciiTheme="minorEastAsia" w:hAnsiTheme="minorEastAsia" w:eastAsiaTheme="minorEastAsia" w:cstheme="minorEastAsia"/>
                <w:sz w:val="22"/>
                <w:szCs w:val="22"/>
                <w:highlight w:val="none"/>
                <w:lang w:val="en-US" w:eastAsia="zh-CN" w:bidi="ar"/>
              </w:rPr>
            </w:pPr>
            <w:r>
              <w:rPr>
                <w:rStyle w:val="37"/>
                <w:rFonts w:hint="eastAsia" w:asciiTheme="minorEastAsia" w:hAnsiTheme="minorEastAsia" w:cstheme="minorEastAsia"/>
                <w:sz w:val="22"/>
                <w:szCs w:val="22"/>
                <w:highlight w:val="none"/>
                <w:lang w:val="en-US" w:eastAsia="zh-CN" w:bidi="ar"/>
              </w:rPr>
              <w:t>5</w:t>
            </w:r>
            <w:r>
              <w:rPr>
                <w:rStyle w:val="37"/>
                <w:rFonts w:hint="eastAsia" w:asciiTheme="minorEastAsia" w:hAnsiTheme="minorEastAsia" w:eastAsiaTheme="minorEastAsia" w:cstheme="minorEastAsia"/>
                <w:sz w:val="22"/>
                <w:szCs w:val="22"/>
                <w:highlight w:val="none"/>
                <w:lang w:val="en-US" w:eastAsia="zh-CN" w:bidi="ar"/>
              </w:rPr>
              <w:t>、台面基材厚度≥25mm。成品符合标准GB/T3324-2024《木家具通用技术条件》要求。</w:t>
            </w:r>
          </w:p>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2"/>
                <w:szCs w:val="22"/>
                <w:highlight w:val="none"/>
                <w:u w:val="none"/>
              </w:rPr>
            </w:pPr>
          </w:p>
        </w:tc>
        <w:tc>
          <w:tcPr>
            <w:tcW w:w="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2"/>
                <w:szCs w:val="22"/>
                <w:highlight w:val="none"/>
                <w:u w:val="none"/>
              </w:rPr>
            </w:pPr>
            <w:r>
              <w:rPr>
                <w:rStyle w:val="36"/>
                <w:rFonts w:hint="eastAsia" w:asciiTheme="minorEastAsia" w:hAnsiTheme="minorEastAsia" w:eastAsiaTheme="minorEastAsia" w:cstheme="minorEastAsia"/>
                <w:sz w:val="22"/>
                <w:szCs w:val="22"/>
                <w:highlight w:val="none"/>
                <w:lang w:val="en-US" w:eastAsia="zh-CN" w:bidi="ar"/>
              </w:rPr>
              <w:t>张</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2"/>
                <w:szCs w:val="22"/>
                <w:highlight w:val="none"/>
                <w:u w:val="none"/>
              </w:rPr>
            </w:pPr>
            <w:r>
              <w:rPr>
                <w:rFonts w:hint="eastAsia" w:asciiTheme="minorEastAsia" w:hAnsiTheme="minorEastAsia" w:eastAsiaTheme="minorEastAsia" w:cstheme="minorEastAsia"/>
                <w:i w:val="0"/>
                <w:color w:val="000000"/>
                <w:kern w:val="0"/>
                <w:sz w:val="22"/>
                <w:szCs w:val="22"/>
                <w:highlight w:val="none"/>
                <w:u w:val="none"/>
                <w:lang w:val="en-US" w:eastAsia="zh-CN" w:bidi="ar"/>
              </w:rPr>
              <w:t xml:space="preserve">4 </w:t>
            </w:r>
          </w:p>
        </w:tc>
      </w:tr>
      <w:tr>
        <w:tblPrEx>
          <w:shd w:val="clear" w:color="auto" w:fill="auto"/>
          <w:tblLayout w:type="fixed"/>
          <w:tblCellMar>
            <w:top w:w="0" w:type="dxa"/>
            <w:left w:w="0" w:type="dxa"/>
            <w:bottom w:w="0" w:type="dxa"/>
            <w:right w:w="0" w:type="dxa"/>
          </w:tblCellMar>
        </w:tblPrEx>
        <w:trPr>
          <w:trHeight w:val="22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2"/>
                <w:szCs w:val="22"/>
                <w:highlight w:val="none"/>
                <w:u w:val="none"/>
              </w:rPr>
            </w:pPr>
            <w:r>
              <w:rPr>
                <w:rStyle w:val="36"/>
                <w:rFonts w:hint="eastAsia" w:asciiTheme="minorEastAsia" w:hAnsiTheme="minorEastAsia" w:eastAsiaTheme="minorEastAsia" w:cstheme="minorEastAsia"/>
                <w:sz w:val="22"/>
                <w:szCs w:val="22"/>
                <w:highlight w:val="none"/>
                <w:lang w:val="en-US" w:eastAsia="zh-CN" w:bidi="ar"/>
              </w:rPr>
              <w:t>阅读椅</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2"/>
                <w:szCs w:val="22"/>
                <w:highlight w:val="none"/>
                <w:u w:val="none"/>
              </w:rPr>
            </w:pPr>
            <w:r>
              <w:rPr>
                <w:rStyle w:val="36"/>
                <w:rFonts w:hint="eastAsia" w:asciiTheme="minorEastAsia" w:hAnsiTheme="minorEastAsia" w:eastAsiaTheme="minorEastAsia" w:cstheme="minorEastAsia"/>
                <w:sz w:val="22"/>
                <w:szCs w:val="22"/>
                <w:highlight w:val="none"/>
                <w:lang w:val="en-US" w:eastAsia="zh-CN" w:bidi="ar"/>
              </w:rPr>
              <w:t>标准</w:t>
            </w:r>
          </w:p>
        </w:tc>
        <w:tc>
          <w:tcPr>
            <w:tcW w:w="59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Style w:val="37"/>
                <w:rFonts w:hint="eastAsia" w:asciiTheme="minorEastAsia" w:hAnsiTheme="minorEastAsia" w:eastAsiaTheme="minorEastAsia" w:cstheme="minorEastAsia"/>
                <w:sz w:val="22"/>
                <w:szCs w:val="22"/>
                <w:highlight w:val="none"/>
                <w:lang w:val="en-US" w:eastAsia="zh-CN" w:bidi="ar"/>
              </w:rPr>
            </w:pPr>
            <w:r>
              <w:rPr>
                <w:rStyle w:val="37"/>
                <w:rFonts w:hint="eastAsia" w:asciiTheme="minorEastAsia" w:hAnsiTheme="minorEastAsia" w:eastAsiaTheme="minorEastAsia" w:cstheme="minorEastAsia"/>
                <w:sz w:val="22"/>
                <w:szCs w:val="22"/>
                <w:highlight w:val="none"/>
                <w:lang w:val="en-US" w:eastAsia="zh-CN" w:bidi="ar"/>
              </w:rPr>
              <w:t>1、面料：采用超纤皮</w:t>
            </w:r>
            <w:r>
              <w:rPr>
                <w:rStyle w:val="37"/>
                <w:rFonts w:hint="eastAsia" w:asciiTheme="minorEastAsia" w:hAnsiTheme="minorEastAsia" w:cstheme="minorEastAsia"/>
                <w:sz w:val="22"/>
                <w:szCs w:val="22"/>
                <w:highlight w:val="none"/>
                <w:lang w:val="en-US" w:eastAsia="zh-CN" w:bidi="ar"/>
              </w:rPr>
              <w:t>符合</w:t>
            </w:r>
            <w:r>
              <w:rPr>
                <w:rStyle w:val="37"/>
                <w:rFonts w:hint="eastAsia" w:asciiTheme="minorEastAsia" w:hAnsiTheme="minorEastAsia" w:eastAsiaTheme="minorEastAsia" w:cstheme="minorEastAsia"/>
                <w:sz w:val="22"/>
                <w:szCs w:val="22"/>
                <w:highlight w:val="none"/>
                <w:lang w:val="en-US" w:eastAsia="zh-CN" w:bidi="ar"/>
              </w:rPr>
              <w:t>QB/T 4371-2012《家具抗菌性能的评价》，GB/T 16799-2018《家具用皮革》等标准，涂层粘着牢度≥2.5N/10mm、耐光性≥5级、耐磨性（CS-10，500g，500r）无明显损伤、剥落、撕裂力≥20N、气味（干态、湿态）≤3级、pH≥3.2、革身应平整、柔软、丰满有弹性，抗菌性能金黄色葡萄球菌抑菌率≥90%、抗菌性能大肠杆菌抑菌率≥90%。</w:t>
            </w:r>
          </w:p>
          <w:p>
            <w:pPr>
              <w:keepNext w:val="0"/>
              <w:keepLines w:val="0"/>
              <w:widowControl/>
              <w:suppressLineNumbers w:val="0"/>
              <w:jc w:val="left"/>
              <w:textAlignment w:val="center"/>
              <w:rPr>
                <w:rStyle w:val="37"/>
                <w:rFonts w:hint="eastAsia" w:asciiTheme="minorEastAsia" w:hAnsiTheme="minorEastAsia" w:eastAsiaTheme="minorEastAsia" w:cstheme="minorEastAsia"/>
                <w:sz w:val="22"/>
                <w:szCs w:val="22"/>
                <w:highlight w:val="none"/>
                <w:lang w:val="en-US" w:eastAsia="zh-CN" w:bidi="ar"/>
              </w:rPr>
            </w:pPr>
            <w:r>
              <w:rPr>
                <w:rStyle w:val="37"/>
                <w:rFonts w:hint="eastAsia" w:asciiTheme="minorEastAsia" w:hAnsiTheme="minorEastAsia" w:eastAsiaTheme="minorEastAsia" w:cstheme="minorEastAsia"/>
                <w:sz w:val="22"/>
                <w:szCs w:val="22"/>
                <w:highlight w:val="none"/>
                <w:lang w:val="en-US" w:eastAsia="zh-CN" w:bidi="ar"/>
              </w:rPr>
              <w:t>2、海绵：</w:t>
            </w:r>
            <w:r>
              <w:rPr>
                <w:rStyle w:val="37"/>
                <w:rFonts w:hint="eastAsia" w:asciiTheme="minorEastAsia" w:hAnsiTheme="minorEastAsia" w:cstheme="minorEastAsia"/>
                <w:sz w:val="22"/>
                <w:szCs w:val="22"/>
                <w:highlight w:val="none"/>
                <w:lang w:val="en-US" w:eastAsia="zh-CN" w:bidi="ar"/>
              </w:rPr>
              <w:t>符合</w:t>
            </w:r>
            <w:r>
              <w:rPr>
                <w:rStyle w:val="37"/>
                <w:rFonts w:hint="eastAsia" w:asciiTheme="minorEastAsia" w:hAnsiTheme="minorEastAsia" w:eastAsiaTheme="minorEastAsia" w:cstheme="minorEastAsia"/>
                <w:sz w:val="22"/>
                <w:szCs w:val="22"/>
                <w:highlight w:val="none"/>
                <w:lang w:val="en-US" w:eastAsia="zh-CN" w:bidi="ar"/>
              </w:rPr>
              <w:t>GB/T 10802-2023《通用软质聚氨酯泡沫塑料》等标准，外观色泽：颜色基本均匀，可有轻微杂色、黄芯；外观气孔：不应有尺寸大于6mm的对穿孔和尺寸大于10mm的气孔；外观裂缝：每平方米内的弥和裂缝总长应小于100mm，最大裂缝长度应小于30mm，不应有不弥合裂缝；外观污渍：不应有严重污渍；40%压陷硬度偏差±22N；回弹率≥35%；断裂伸长率≥110%；干热老化后拉伸强度≥55KPa。</w:t>
            </w:r>
          </w:p>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2"/>
                <w:szCs w:val="22"/>
                <w:highlight w:val="none"/>
                <w:u w:val="none"/>
              </w:rPr>
            </w:pPr>
            <w:r>
              <w:rPr>
                <w:rStyle w:val="37"/>
                <w:rFonts w:hint="eastAsia" w:asciiTheme="minorEastAsia" w:hAnsiTheme="minorEastAsia" w:eastAsiaTheme="minorEastAsia" w:cstheme="minorEastAsia"/>
                <w:sz w:val="22"/>
                <w:szCs w:val="22"/>
                <w:highlight w:val="none"/>
                <w:lang w:val="en-US" w:eastAsia="zh-CN" w:bidi="ar"/>
              </w:rPr>
              <w:t>3、椅脚：</w:t>
            </w:r>
            <w:r>
              <w:rPr>
                <w:rStyle w:val="37"/>
                <w:rFonts w:hint="eastAsia" w:asciiTheme="minorEastAsia" w:hAnsiTheme="minorEastAsia" w:cstheme="minorEastAsia"/>
                <w:sz w:val="22"/>
                <w:szCs w:val="22"/>
                <w:highlight w:val="none"/>
                <w:lang w:val="en-US" w:eastAsia="zh-CN" w:bidi="ar"/>
              </w:rPr>
              <w:t>符合</w:t>
            </w:r>
            <w:r>
              <w:rPr>
                <w:rStyle w:val="37"/>
                <w:rFonts w:hint="eastAsia" w:asciiTheme="minorEastAsia" w:hAnsiTheme="minorEastAsia" w:eastAsiaTheme="minorEastAsia" w:cstheme="minorEastAsia"/>
                <w:sz w:val="22"/>
                <w:szCs w:val="22"/>
                <w:highlight w:val="none"/>
                <w:lang w:val="en-US" w:eastAsia="zh-CN" w:bidi="ar"/>
              </w:rPr>
              <w:t>GB/T 3325-2024《金属家具通用技术条件》，QB/T4767-2014，GB/T10125-2021，GB/T6461-2002，GB/T11253-2019等标准，管材外观应无裂缝、叠缝，外露管口端面应封闭；冲压件外观应无脱层、裂缝；铆接处的铆接应牢固，无漏铆、脱铆；金属喷漆（塑）涂层冲击强度：冲击高度400mm，应无剥落、裂纹、皱纹；人造气氛腐蚀试验-经不少于120h中性盐雾试验后保护评级及外观评级均达到10级；化学成分（C、Si、Mn、P、S）检测合格；下屈服强度Rₑʟ、断后伸长率检测合格；断后伸长率A≥33%。</w:t>
            </w:r>
          </w:p>
        </w:tc>
        <w:tc>
          <w:tcPr>
            <w:tcW w:w="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2"/>
                <w:szCs w:val="22"/>
                <w:highlight w:val="none"/>
                <w:u w:val="none"/>
              </w:rPr>
            </w:pPr>
            <w:r>
              <w:rPr>
                <w:rStyle w:val="36"/>
                <w:rFonts w:hint="eastAsia" w:asciiTheme="minorEastAsia" w:hAnsiTheme="minorEastAsia" w:eastAsiaTheme="minorEastAsia" w:cstheme="minorEastAsia"/>
                <w:sz w:val="22"/>
                <w:szCs w:val="22"/>
                <w:highlight w:val="none"/>
                <w:lang w:val="en-US" w:eastAsia="zh-CN" w:bidi="ar"/>
              </w:rPr>
              <w:t>把</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2"/>
                <w:szCs w:val="22"/>
                <w:highlight w:val="none"/>
                <w:u w:val="none"/>
              </w:rPr>
            </w:pPr>
            <w:r>
              <w:rPr>
                <w:rFonts w:hint="eastAsia" w:asciiTheme="minorEastAsia" w:hAnsiTheme="minorEastAsia" w:eastAsiaTheme="minorEastAsia" w:cstheme="minorEastAsia"/>
                <w:i w:val="0"/>
                <w:color w:val="000000"/>
                <w:kern w:val="0"/>
                <w:sz w:val="22"/>
                <w:szCs w:val="22"/>
                <w:highlight w:val="none"/>
                <w:u w:val="none"/>
                <w:lang w:val="en-US" w:eastAsia="zh-CN" w:bidi="ar"/>
              </w:rPr>
              <w:t xml:space="preserve">22 </w:t>
            </w:r>
          </w:p>
        </w:tc>
      </w:tr>
      <w:tr>
        <w:tblPrEx>
          <w:shd w:val="clear" w:color="auto" w:fill="auto"/>
          <w:tblLayout w:type="fixed"/>
          <w:tblCellMar>
            <w:top w:w="0" w:type="dxa"/>
            <w:left w:w="0" w:type="dxa"/>
            <w:bottom w:w="0" w:type="dxa"/>
            <w:right w:w="0" w:type="dxa"/>
          </w:tblCellMar>
        </w:tblPrEx>
        <w:trPr>
          <w:trHeight w:val="270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2"/>
                <w:szCs w:val="22"/>
                <w:highlight w:val="none"/>
                <w:u w:val="none"/>
              </w:rPr>
            </w:pPr>
            <w:r>
              <w:rPr>
                <w:rStyle w:val="36"/>
                <w:rFonts w:hint="eastAsia" w:asciiTheme="minorEastAsia" w:hAnsiTheme="minorEastAsia" w:eastAsiaTheme="minorEastAsia" w:cstheme="minorEastAsia"/>
                <w:sz w:val="22"/>
                <w:szCs w:val="22"/>
                <w:highlight w:val="none"/>
                <w:lang w:val="en-US" w:eastAsia="zh-CN" w:bidi="ar"/>
              </w:rPr>
              <w:t>书柜</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2"/>
                <w:szCs w:val="22"/>
                <w:highlight w:val="none"/>
                <w:u w:val="none"/>
              </w:rPr>
            </w:pPr>
            <w:r>
              <w:rPr>
                <w:rStyle w:val="36"/>
                <w:rFonts w:hint="eastAsia" w:asciiTheme="minorEastAsia" w:hAnsiTheme="minorEastAsia" w:eastAsiaTheme="minorEastAsia" w:cstheme="minorEastAsia"/>
                <w:sz w:val="22"/>
                <w:szCs w:val="22"/>
                <w:highlight w:val="none"/>
                <w:lang w:val="en-US" w:eastAsia="zh-CN" w:bidi="ar"/>
              </w:rPr>
              <w:t>延米*550*3150</w:t>
            </w:r>
          </w:p>
        </w:tc>
        <w:tc>
          <w:tcPr>
            <w:tcW w:w="59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Style w:val="37"/>
                <w:rFonts w:hint="eastAsia" w:asciiTheme="minorEastAsia" w:hAnsiTheme="minorEastAsia" w:eastAsiaTheme="minorEastAsia" w:cstheme="minorEastAsia"/>
                <w:sz w:val="22"/>
                <w:szCs w:val="22"/>
                <w:highlight w:val="none"/>
                <w:lang w:val="en-US" w:eastAsia="zh-CN" w:bidi="ar"/>
              </w:rPr>
            </w:pPr>
            <w:r>
              <w:rPr>
                <w:rStyle w:val="37"/>
                <w:rFonts w:hint="eastAsia" w:asciiTheme="minorEastAsia" w:hAnsiTheme="minorEastAsia" w:eastAsiaTheme="minorEastAsia" w:cstheme="minorEastAsia"/>
                <w:sz w:val="22"/>
                <w:szCs w:val="22"/>
                <w:highlight w:val="none"/>
                <w:lang w:val="en-US" w:eastAsia="zh-CN" w:bidi="ar"/>
              </w:rPr>
              <w:t>1、基材：采用不少于E0级的实木颗粒板</w:t>
            </w:r>
            <w:r>
              <w:rPr>
                <w:rStyle w:val="37"/>
                <w:rFonts w:hint="eastAsia" w:asciiTheme="minorEastAsia" w:hAnsiTheme="minorEastAsia" w:cstheme="minorEastAsia"/>
                <w:sz w:val="22"/>
                <w:szCs w:val="22"/>
                <w:highlight w:val="none"/>
                <w:lang w:val="en-US" w:eastAsia="zh-CN" w:bidi="ar"/>
              </w:rPr>
              <w:t>符合</w:t>
            </w:r>
            <w:r>
              <w:rPr>
                <w:rStyle w:val="37"/>
                <w:rFonts w:hint="eastAsia" w:asciiTheme="minorEastAsia" w:hAnsiTheme="minorEastAsia" w:eastAsiaTheme="minorEastAsia" w:cstheme="minorEastAsia"/>
                <w:sz w:val="22"/>
                <w:szCs w:val="22"/>
                <w:highlight w:val="none"/>
                <w:lang w:val="en-US" w:eastAsia="zh-CN" w:bidi="ar"/>
              </w:rPr>
              <w:t>GB/T15102-2017等标准，密度0.6～0.9g/cm³；静曲强度≥10.5MPa；弹性模量≥1500MPa；内结合强度≥0.3MPa；耐水蒸气达到4级以上；表面胶合强度≥0.6MPa；表面耐磨磨耗值≤80mg/100r；表面耐污染腐蚀达到4级以上；耐光色牢度：蓝色羊毛布6级，达到灰度卡4级。</w:t>
            </w:r>
          </w:p>
          <w:p>
            <w:pPr>
              <w:keepNext w:val="0"/>
              <w:keepLines w:val="0"/>
              <w:widowControl/>
              <w:suppressLineNumbers w:val="0"/>
              <w:jc w:val="left"/>
              <w:textAlignment w:val="center"/>
              <w:rPr>
                <w:rStyle w:val="37"/>
                <w:rFonts w:hint="eastAsia" w:asciiTheme="minorEastAsia" w:hAnsiTheme="minorEastAsia" w:eastAsiaTheme="minorEastAsia" w:cstheme="minorEastAsia"/>
                <w:sz w:val="22"/>
                <w:szCs w:val="22"/>
                <w:highlight w:val="none"/>
                <w:lang w:val="en-US" w:eastAsia="zh-CN" w:bidi="ar"/>
              </w:rPr>
            </w:pPr>
            <w:r>
              <w:rPr>
                <w:rStyle w:val="37"/>
                <w:rFonts w:hint="eastAsia" w:asciiTheme="minorEastAsia" w:hAnsiTheme="minorEastAsia" w:eastAsiaTheme="minorEastAsia" w:cstheme="minorEastAsia"/>
                <w:sz w:val="22"/>
                <w:szCs w:val="22"/>
                <w:highlight w:val="none"/>
                <w:lang w:val="en-US" w:eastAsia="zh-CN" w:bidi="ar"/>
              </w:rPr>
              <w:t>2、覆面：采用三聚氰胺饰面纸</w:t>
            </w:r>
            <w:r>
              <w:rPr>
                <w:rStyle w:val="37"/>
                <w:rFonts w:hint="eastAsia" w:asciiTheme="minorEastAsia" w:hAnsiTheme="minorEastAsia" w:cstheme="minorEastAsia"/>
                <w:sz w:val="22"/>
                <w:szCs w:val="22"/>
                <w:highlight w:val="none"/>
                <w:lang w:val="en-US" w:eastAsia="zh-CN" w:bidi="ar"/>
              </w:rPr>
              <w:t>符合</w:t>
            </w:r>
            <w:r>
              <w:rPr>
                <w:rStyle w:val="37"/>
                <w:rFonts w:hint="eastAsia" w:asciiTheme="minorEastAsia" w:hAnsiTheme="minorEastAsia" w:eastAsiaTheme="minorEastAsia" w:cstheme="minorEastAsia"/>
                <w:sz w:val="22"/>
                <w:szCs w:val="22"/>
                <w:highlight w:val="none"/>
                <w:lang w:val="en-US" w:eastAsia="zh-CN" w:bidi="ar"/>
              </w:rPr>
              <w:t>GB/T28995-2022等标准，外观质量不准许有污斑、漏胶、黏连；挥发物含量5.5～9.5%；挥发物含量偏差-0.5～0.5%；PH值6.5～7.5。</w:t>
            </w:r>
          </w:p>
          <w:p>
            <w:pPr>
              <w:keepNext w:val="0"/>
              <w:keepLines w:val="0"/>
              <w:widowControl/>
              <w:suppressLineNumbers w:val="0"/>
              <w:jc w:val="left"/>
              <w:textAlignment w:val="center"/>
              <w:rPr>
                <w:rStyle w:val="37"/>
                <w:rFonts w:hint="eastAsia" w:asciiTheme="minorEastAsia" w:hAnsiTheme="minorEastAsia" w:eastAsiaTheme="minorEastAsia" w:cstheme="minorEastAsia"/>
                <w:sz w:val="22"/>
                <w:szCs w:val="22"/>
                <w:highlight w:val="none"/>
                <w:lang w:val="en-US" w:eastAsia="zh-CN" w:bidi="ar"/>
              </w:rPr>
            </w:pPr>
            <w:r>
              <w:rPr>
                <w:rStyle w:val="37"/>
                <w:rFonts w:hint="eastAsia" w:asciiTheme="minorEastAsia" w:hAnsiTheme="minorEastAsia" w:eastAsiaTheme="minorEastAsia" w:cstheme="minorEastAsia"/>
                <w:sz w:val="22"/>
                <w:szCs w:val="22"/>
                <w:highlight w:val="none"/>
                <w:lang w:val="en-US" w:eastAsia="zh-CN" w:bidi="ar"/>
              </w:rPr>
              <w:t>3、PVC封边条：封边条外观表面应光滑，花纹应清晰均匀、无漏印。压纹(压花)表面应有统一的花式，且压纹应清晰、均匀；厚度偏差±0.15mm；边缘直线度(长度方向边缘凹形度Smax)≤5mm；耐干热性应无龟裂、无鼓泡；耐龟裂性≥2级；耐冷热循环性：应无龟裂、无鼓泡、无变色、无起皱；耐磨性：磨≥90r后应无露底现象。</w:t>
            </w:r>
          </w:p>
          <w:p>
            <w:pPr>
              <w:keepNext w:val="0"/>
              <w:keepLines w:val="0"/>
              <w:widowControl/>
              <w:suppressLineNumbers w:val="0"/>
              <w:jc w:val="left"/>
              <w:textAlignment w:val="center"/>
              <w:rPr>
                <w:rStyle w:val="37"/>
                <w:rFonts w:hint="eastAsia" w:asciiTheme="minorEastAsia" w:hAnsiTheme="minorEastAsia" w:eastAsiaTheme="minorEastAsia" w:cstheme="minorEastAsia"/>
                <w:sz w:val="22"/>
                <w:szCs w:val="22"/>
                <w:highlight w:val="none"/>
                <w:lang w:val="en-US" w:eastAsia="zh-CN" w:bidi="ar"/>
              </w:rPr>
            </w:pPr>
            <w:r>
              <w:rPr>
                <w:rStyle w:val="37"/>
                <w:rFonts w:hint="eastAsia" w:asciiTheme="minorEastAsia" w:hAnsiTheme="minorEastAsia" w:eastAsiaTheme="minorEastAsia" w:cstheme="minorEastAsia"/>
                <w:sz w:val="22"/>
                <w:szCs w:val="22"/>
                <w:highlight w:val="none"/>
                <w:lang w:val="en-US" w:eastAsia="zh-CN" w:bidi="ar"/>
              </w:rPr>
              <w:t>4、五金件-铰链：</w:t>
            </w:r>
            <w:r>
              <w:rPr>
                <w:rStyle w:val="37"/>
                <w:rFonts w:hint="eastAsia" w:asciiTheme="minorEastAsia" w:hAnsiTheme="minorEastAsia" w:cstheme="minorEastAsia"/>
                <w:sz w:val="22"/>
                <w:szCs w:val="22"/>
                <w:highlight w:val="none"/>
                <w:lang w:val="en-US" w:eastAsia="zh-CN" w:bidi="ar"/>
              </w:rPr>
              <w:t>符合</w:t>
            </w:r>
            <w:r>
              <w:rPr>
                <w:rStyle w:val="37"/>
                <w:rFonts w:hint="eastAsia" w:asciiTheme="minorEastAsia" w:hAnsiTheme="minorEastAsia" w:eastAsiaTheme="minorEastAsia" w:cstheme="minorEastAsia"/>
                <w:sz w:val="22"/>
                <w:szCs w:val="22"/>
                <w:highlight w:val="none"/>
                <w:lang w:val="en-US" w:eastAsia="zh-CN" w:bidi="ar"/>
              </w:rPr>
              <w:t>QB/T2189-2013，GB/T 3325-2024《金属家具通用技术条件》等标准，垂直静载荷（过载）B型门，30kg，10次试验后应无损；水平静载荷（过载）B型门，70N，10次试验后应无损；操作力（功能）耐久性试验前：带自动关闭装置的杯状暗铰链的关闭力应大于0.5N，且打开力和关闭力不应大于20N；水平静载荷（功能）：B型门，40N，10次。试验后应无损；耐久性（功能）≥80000次试验后无损；金属电镀层抗盐雾直径1.5mm以下锈点≤20点/dm²，其中直径≥1.0mm锈点不超过5点（距边缘棱角2mm以内的不计）。</w:t>
            </w:r>
          </w:p>
          <w:p>
            <w:pPr>
              <w:keepNext w:val="0"/>
              <w:keepLines w:val="0"/>
              <w:widowControl/>
              <w:suppressLineNumbers w:val="0"/>
              <w:jc w:val="left"/>
              <w:textAlignment w:val="center"/>
              <w:rPr>
                <w:rStyle w:val="37"/>
                <w:rFonts w:hint="eastAsia" w:asciiTheme="minorEastAsia" w:hAnsiTheme="minorEastAsia" w:eastAsiaTheme="minorEastAsia" w:cstheme="minorEastAsia"/>
                <w:sz w:val="22"/>
                <w:szCs w:val="22"/>
                <w:highlight w:val="none"/>
                <w:lang w:val="en-US" w:eastAsia="zh-CN" w:bidi="ar"/>
              </w:rPr>
            </w:pPr>
            <w:r>
              <w:rPr>
                <w:rStyle w:val="37"/>
                <w:rFonts w:hint="eastAsia" w:asciiTheme="minorEastAsia" w:hAnsiTheme="minorEastAsia" w:eastAsiaTheme="minorEastAsia" w:cstheme="minorEastAsia"/>
                <w:sz w:val="22"/>
                <w:szCs w:val="22"/>
                <w:highlight w:val="none"/>
                <w:lang w:val="en-US" w:eastAsia="zh-CN" w:bidi="ar"/>
              </w:rPr>
              <w:t>5、顶板、侧板板材厚度≥25mm，其余部分≥16mm。成品符合标准GB/T3324-2024《木家具通用技术条件》要求。</w:t>
            </w:r>
          </w:p>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2"/>
                <w:szCs w:val="22"/>
                <w:highlight w:val="none"/>
                <w:u w:val="none"/>
              </w:rPr>
            </w:pPr>
          </w:p>
        </w:tc>
        <w:tc>
          <w:tcPr>
            <w:tcW w:w="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2"/>
                <w:szCs w:val="22"/>
                <w:highlight w:val="none"/>
                <w:u w:val="none"/>
              </w:rPr>
            </w:pPr>
            <w:r>
              <w:rPr>
                <w:rStyle w:val="36"/>
                <w:rFonts w:hint="eastAsia" w:asciiTheme="minorEastAsia" w:hAnsiTheme="minorEastAsia" w:eastAsiaTheme="minorEastAsia" w:cstheme="minorEastAsia"/>
                <w:sz w:val="22"/>
                <w:szCs w:val="22"/>
                <w:highlight w:val="none"/>
                <w:lang w:val="en-US" w:eastAsia="zh-CN" w:bidi="ar"/>
              </w:rPr>
              <w:t>米</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2"/>
                <w:szCs w:val="22"/>
                <w:highlight w:val="none"/>
                <w:u w:val="none"/>
              </w:rPr>
            </w:pPr>
            <w:r>
              <w:rPr>
                <w:rFonts w:hint="eastAsia" w:asciiTheme="minorEastAsia" w:hAnsiTheme="minorEastAsia" w:eastAsiaTheme="minorEastAsia" w:cstheme="minorEastAsia"/>
                <w:i w:val="0"/>
                <w:color w:val="000000"/>
                <w:kern w:val="0"/>
                <w:sz w:val="22"/>
                <w:szCs w:val="22"/>
                <w:highlight w:val="none"/>
                <w:u w:val="none"/>
                <w:lang w:val="en-US" w:eastAsia="zh-CN" w:bidi="ar"/>
              </w:rPr>
              <w:t xml:space="preserve">8.4 </w:t>
            </w:r>
          </w:p>
        </w:tc>
      </w:tr>
      <w:tr>
        <w:tblPrEx>
          <w:shd w:val="clear" w:color="auto" w:fill="auto"/>
          <w:tblLayout w:type="fixed"/>
          <w:tblCellMar>
            <w:top w:w="0" w:type="dxa"/>
            <w:left w:w="0" w:type="dxa"/>
            <w:bottom w:w="0" w:type="dxa"/>
            <w:right w:w="0" w:type="dxa"/>
          </w:tblCellMar>
        </w:tblPrEx>
        <w:trPr>
          <w:trHeight w:val="372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2"/>
                <w:szCs w:val="22"/>
                <w:highlight w:val="none"/>
                <w:u w:val="none"/>
              </w:rPr>
            </w:pPr>
            <w:r>
              <w:rPr>
                <w:rStyle w:val="36"/>
                <w:rFonts w:hint="eastAsia" w:asciiTheme="minorEastAsia" w:hAnsiTheme="minorEastAsia" w:eastAsiaTheme="minorEastAsia" w:cstheme="minorEastAsia"/>
                <w:sz w:val="22"/>
                <w:szCs w:val="22"/>
                <w:highlight w:val="none"/>
                <w:lang w:val="en-US" w:eastAsia="zh-CN" w:bidi="ar"/>
              </w:rPr>
              <w:t>定制吧桌</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2"/>
                <w:szCs w:val="22"/>
                <w:highlight w:val="none"/>
                <w:u w:val="none"/>
              </w:rPr>
            </w:pPr>
            <w:r>
              <w:rPr>
                <w:rStyle w:val="36"/>
                <w:rFonts w:hint="eastAsia" w:asciiTheme="minorEastAsia" w:hAnsiTheme="minorEastAsia" w:eastAsiaTheme="minorEastAsia" w:cstheme="minorEastAsia"/>
                <w:sz w:val="22"/>
                <w:szCs w:val="22"/>
                <w:highlight w:val="none"/>
                <w:lang w:val="en-US" w:eastAsia="zh-CN" w:bidi="ar"/>
              </w:rPr>
              <w:t>860*600*750</w:t>
            </w:r>
          </w:p>
        </w:tc>
        <w:tc>
          <w:tcPr>
            <w:tcW w:w="59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color w:val="000000"/>
                <w:kern w:val="0"/>
                <w:sz w:val="22"/>
                <w:szCs w:val="22"/>
                <w:highlight w:val="none"/>
                <w:u w:val="none"/>
                <w:lang w:val="en-US" w:eastAsia="zh-CN" w:bidi="ar"/>
              </w:rPr>
              <w:t>1、基材：采用不少于E0级的实木颗粒板</w:t>
            </w:r>
            <w:r>
              <w:rPr>
                <w:rFonts w:hint="eastAsia" w:asciiTheme="minorEastAsia" w:hAnsiTheme="minorEastAsia" w:cstheme="minorEastAsia"/>
                <w:i w:val="0"/>
                <w:color w:val="000000"/>
                <w:kern w:val="0"/>
                <w:sz w:val="22"/>
                <w:szCs w:val="22"/>
                <w:highlight w:val="none"/>
                <w:u w:val="none"/>
                <w:lang w:val="en-US" w:eastAsia="zh-CN" w:bidi="ar"/>
              </w:rPr>
              <w:t>符合</w:t>
            </w:r>
            <w:r>
              <w:rPr>
                <w:rFonts w:hint="eastAsia" w:asciiTheme="minorEastAsia" w:hAnsiTheme="minorEastAsia" w:eastAsiaTheme="minorEastAsia" w:cstheme="minorEastAsia"/>
                <w:i w:val="0"/>
                <w:color w:val="000000"/>
                <w:kern w:val="0"/>
                <w:sz w:val="22"/>
                <w:szCs w:val="22"/>
                <w:highlight w:val="none"/>
                <w:u w:val="none"/>
                <w:lang w:val="en-US" w:eastAsia="zh-CN" w:bidi="ar"/>
              </w:rPr>
              <w:t>GB/T15102-2017等标准，密度0.6～0.9g/cm³；静曲强度≥10.5MPa；弹性模量≥1500MPa；内结合强度≥0.3MPa；耐水蒸气达到4级以上；表面胶合强度≥0.6MPa；表面耐磨磨耗值≤80mg/100r；表面耐污染腐蚀达到4级以上；耐光色牢度：蓝色羊毛布6级，达到灰度卡4级。</w:t>
            </w:r>
          </w:p>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color w:val="000000"/>
                <w:kern w:val="0"/>
                <w:sz w:val="22"/>
                <w:szCs w:val="22"/>
                <w:highlight w:val="none"/>
                <w:u w:val="none"/>
                <w:lang w:val="en-US" w:eastAsia="zh-CN" w:bidi="ar"/>
              </w:rPr>
              <w:t>2、覆面：采用三聚氰胺饰面纸</w:t>
            </w:r>
            <w:r>
              <w:rPr>
                <w:rFonts w:hint="eastAsia" w:asciiTheme="minorEastAsia" w:hAnsiTheme="minorEastAsia" w:cstheme="minorEastAsia"/>
                <w:i w:val="0"/>
                <w:color w:val="000000"/>
                <w:kern w:val="0"/>
                <w:sz w:val="22"/>
                <w:szCs w:val="22"/>
                <w:highlight w:val="none"/>
                <w:u w:val="none"/>
                <w:lang w:val="en-US" w:eastAsia="zh-CN" w:bidi="ar"/>
              </w:rPr>
              <w:t>符合</w:t>
            </w:r>
            <w:r>
              <w:rPr>
                <w:rFonts w:hint="eastAsia" w:asciiTheme="minorEastAsia" w:hAnsiTheme="minorEastAsia" w:eastAsiaTheme="minorEastAsia" w:cstheme="minorEastAsia"/>
                <w:i w:val="0"/>
                <w:color w:val="000000"/>
                <w:kern w:val="0"/>
                <w:sz w:val="22"/>
                <w:szCs w:val="22"/>
                <w:highlight w:val="none"/>
                <w:u w:val="none"/>
                <w:lang w:val="en-US" w:eastAsia="zh-CN" w:bidi="ar"/>
              </w:rPr>
              <w:t>GB/T28995-2022等标准，外观质量不准许有污斑、漏胶、黏连；挥发物含量5.5～9.5%；挥发物含量偏差-0.5～0.5%；PH值6.5～7.5。</w:t>
            </w:r>
          </w:p>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color w:val="000000"/>
                <w:kern w:val="0"/>
                <w:sz w:val="22"/>
                <w:szCs w:val="22"/>
                <w:highlight w:val="none"/>
                <w:u w:val="none"/>
                <w:lang w:val="en-US" w:eastAsia="zh-CN" w:bidi="ar"/>
              </w:rPr>
              <w:t>3、PVC封边条：封边条外观表面应光滑，花纹应清晰均匀、无漏印。压纹(压花)表面应有统一的花式，且压纹应清晰、均匀；厚度偏差±0.15mm；边缘直线度(长度方向边缘凹形度Smax)≤5mm；耐干热性应无龟裂、无鼓泡；耐龟裂性≥2级；耐冷热循环性：应无龟裂、无鼓泡、无变色、无起皱；耐磨性：磨≥90r后应无露底现象。</w:t>
            </w:r>
          </w:p>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color w:val="000000"/>
                <w:kern w:val="0"/>
                <w:sz w:val="22"/>
                <w:szCs w:val="22"/>
                <w:highlight w:val="none"/>
                <w:u w:val="none"/>
                <w:lang w:val="en-US" w:eastAsia="zh-CN" w:bidi="ar"/>
              </w:rPr>
              <w:t>4、五金件-铰链：</w:t>
            </w:r>
            <w:r>
              <w:rPr>
                <w:rFonts w:hint="eastAsia" w:asciiTheme="minorEastAsia" w:hAnsiTheme="minorEastAsia" w:cstheme="minorEastAsia"/>
                <w:i w:val="0"/>
                <w:color w:val="000000"/>
                <w:kern w:val="0"/>
                <w:sz w:val="22"/>
                <w:szCs w:val="22"/>
                <w:highlight w:val="none"/>
                <w:u w:val="none"/>
                <w:lang w:val="en-US" w:eastAsia="zh-CN" w:bidi="ar"/>
              </w:rPr>
              <w:t>符合</w:t>
            </w:r>
            <w:r>
              <w:rPr>
                <w:rFonts w:hint="eastAsia" w:asciiTheme="minorEastAsia" w:hAnsiTheme="minorEastAsia" w:eastAsiaTheme="minorEastAsia" w:cstheme="minorEastAsia"/>
                <w:i w:val="0"/>
                <w:color w:val="000000"/>
                <w:kern w:val="0"/>
                <w:sz w:val="22"/>
                <w:szCs w:val="22"/>
                <w:highlight w:val="none"/>
                <w:u w:val="none"/>
                <w:lang w:val="en-US" w:eastAsia="zh-CN" w:bidi="ar"/>
              </w:rPr>
              <w:t>QB/T2189-2013，GB/T 3325-2024《金属家具通用技术条件》等标准，垂直静载荷（过载）B型门，30kg，10次试验后应无损；水平静载荷（过载）B型门，70N，10次试验后应无损；操作力（功能）耐久性试验前：带自动关闭装置的杯状暗铰链的关闭力应大于0.5N，且打开力和关闭力不应大于20N；水平静载荷（功能）：B型门，40N，10次。试验后应无损；耐久性（功能）≥80000次试验后无损；金属电镀层抗盐雾直径1.5mm以下锈点≤20点/dm²，其中直径≥1.0mm锈点不超过5点（距边缘棱角2mm以内的不计）。</w:t>
            </w:r>
          </w:p>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color w:val="000000"/>
                <w:kern w:val="0"/>
                <w:sz w:val="22"/>
                <w:szCs w:val="22"/>
                <w:highlight w:val="none"/>
                <w:u w:val="none"/>
                <w:lang w:val="en-US" w:eastAsia="zh-CN" w:bidi="ar"/>
              </w:rPr>
              <w:t>5、五金件-滑轨：</w:t>
            </w:r>
            <w:r>
              <w:rPr>
                <w:rFonts w:hint="eastAsia" w:asciiTheme="minorEastAsia" w:hAnsiTheme="minorEastAsia" w:cstheme="minorEastAsia"/>
                <w:i w:val="0"/>
                <w:color w:val="000000"/>
                <w:kern w:val="0"/>
                <w:sz w:val="22"/>
                <w:szCs w:val="22"/>
                <w:highlight w:val="none"/>
                <w:u w:val="none"/>
                <w:lang w:val="en-US" w:eastAsia="zh-CN" w:bidi="ar"/>
              </w:rPr>
              <w:t>符合</w:t>
            </w:r>
            <w:r>
              <w:rPr>
                <w:rFonts w:hint="eastAsia" w:asciiTheme="minorEastAsia" w:hAnsiTheme="minorEastAsia" w:eastAsiaTheme="minorEastAsia" w:cstheme="minorEastAsia"/>
                <w:i w:val="0"/>
                <w:color w:val="000000"/>
                <w:kern w:val="0"/>
                <w:sz w:val="22"/>
                <w:szCs w:val="22"/>
                <w:highlight w:val="none"/>
                <w:u w:val="none"/>
                <w:lang w:val="en-US" w:eastAsia="zh-CN" w:bidi="ar"/>
              </w:rPr>
              <w:t>GB/T 3325-2024《金属家具通用技术条件》，QB/T2454-2013，GB/T10125-2021，GB/T6461-2002等标准，金属件喷漆（塑）涂层外观应无漏喷、锈蚀、脱色、掉色等；金属件喷漆（塑）涂层外观应光滑均匀，色泽一致应无流挂、疙瘩、皱皮、飞漆等；垂直向下静载荷（过载）300N，10次试验后应无损；猛关或猛开（过载）K=2.5，各10次试验后应无损；下沉量（功能）：下沉量不应超过抽屉导轨拉出长度的4%；拉出安全性（功能）：试验负荷≤20kg，试验速度=0.3m/s试验后应无损；人造气氛腐蚀试验-经不少于120h铜加速乙酸盐雾（CASS）试验后保护评级达到10级，外观评级达到10级。</w:t>
            </w:r>
          </w:p>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color w:val="000000"/>
                <w:kern w:val="0"/>
                <w:sz w:val="22"/>
                <w:szCs w:val="22"/>
                <w:highlight w:val="none"/>
                <w:u w:val="none"/>
                <w:lang w:val="en-US" w:eastAsia="zh-CN" w:bidi="ar"/>
              </w:rPr>
              <w:t>6、顶板、侧板板材厚度≥25mm，其余部分≥16mm。成品符合标准GB/T3324-2024《木家具通用技术条件》要求。</w:t>
            </w:r>
          </w:p>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2"/>
                <w:szCs w:val="22"/>
                <w:highlight w:val="none"/>
                <w:u w:val="none"/>
              </w:rPr>
            </w:pPr>
          </w:p>
        </w:tc>
        <w:tc>
          <w:tcPr>
            <w:tcW w:w="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2"/>
                <w:szCs w:val="22"/>
                <w:highlight w:val="none"/>
                <w:u w:val="none"/>
              </w:rPr>
            </w:pPr>
            <w:r>
              <w:rPr>
                <w:rStyle w:val="36"/>
                <w:rFonts w:hint="eastAsia" w:asciiTheme="minorEastAsia" w:hAnsiTheme="minorEastAsia" w:eastAsiaTheme="minorEastAsia" w:cstheme="minorEastAsia"/>
                <w:sz w:val="22"/>
                <w:szCs w:val="22"/>
                <w:highlight w:val="none"/>
                <w:lang w:val="en-US" w:eastAsia="zh-CN" w:bidi="ar"/>
              </w:rPr>
              <w:t>组</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2"/>
                <w:szCs w:val="22"/>
                <w:highlight w:val="none"/>
                <w:u w:val="none"/>
              </w:rPr>
            </w:pPr>
            <w:r>
              <w:rPr>
                <w:rFonts w:hint="eastAsia" w:asciiTheme="minorEastAsia" w:hAnsiTheme="minorEastAsia" w:eastAsiaTheme="minorEastAsia" w:cstheme="minorEastAsia"/>
                <w:i w:val="0"/>
                <w:color w:val="000000"/>
                <w:kern w:val="0"/>
                <w:sz w:val="22"/>
                <w:szCs w:val="22"/>
                <w:highlight w:val="none"/>
                <w:u w:val="none"/>
                <w:lang w:val="en-US" w:eastAsia="zh-CN" w:bidi="ar"/>
              </w:rPr>
              <w:t xml:space="preserve">6 </w:t>
            </w:r>
          </w:p>
        </w:tc>
      </w:tr>
    </w:tbl>
    <w:p>
      <w:pPr>
        <w:rPr>
          <w:rFonts w:hint="eastAsia" w:asciiTheme="minorEastAsia" w:hAnsiTheme="minorEastAsia" w:eastAsiaTheme="minorEastAsia" w:cstheme="minorEastAsia"/>
          <w:color w:val="auto"/>
          <w:sz w:val="18"/>
          <w:szCs w:val="18"/>
          <w:highlight w:val="none"/>
          <w:lang w:val="en-US" w:eastAsia="zh-CN"/>
        </w:rPr>
      </w:pPr>
    </w:p>
    <w:p>
      <w:pPr>
        <w:ind w:firstLine="640" w:firstLineChars="200"/>
        <w:rPr>
          <w:rFonts w:hint="eastAsia" w:ascii="仿宋" w:hAnsi="仿宋" w:eastAsia="仿宋" w:cs="仿宋"/>
          <w:color w:val="auto"/>
          <w:sz w:val="32"/>
          <w:szCs w:val="32"/>
          <w:highlight w:val="yellow"/>
          <w:lang w:val="en-US" w:eastAsia="zh-CN"/>
        </w:rPr>
      </w:pPr>
    </w:p>
    <w:p>
      <w:pPr>
        <w:ind w:firstLine="640" w:firstLineChars="200"/>
        <w:rPr>
          <w:rFonts w:hint="eastAsia" w:ascii="仿宋" w:hAnsi="仿宋" w:eastAsia="仿宋" w:cs="仿宋"/>
          <w:color w:val="auto"/>
          <w:sz w:val="32"/>
          <w:szCs w:val="32"/>
          <w:highlight w:val="yellow"/>
          <w:lang w:val="en-US" w:eastAsia="zh-CN"/>
        </w:rPr>
      </w:pPr>
    </w:p>
    <w:p>
      <w:pPr>
        <w:ind w:firstLine="640" w:firstLineChars="200"/>
        <w:rPr>
          <w:rFonts w:hint="eastAsia" w:ascii="仿宋" w:hAnsi="仿宋" w:eastAsia="仿宋" w:cs="仿宋"/>
          <w:color w:val="auto"/>
          <w:sz w:val="32"/>
          <w:szCs w:val="32"/>
          <w:highlight w:val="yellow"/>
          <w:lang w:val="en-US" w:eastAsia="zh-CN"/>
        </w:rPr>
      </w:pPr>
    </w:p>
    <w:p>
      <w:pPr>
        <w:rPr>
          <w:rFonts w:hint="eastAsia" w:ascii="仿宋" w:hAnsi="仿宋" w:eastAsia="仿宋" w:cs="仿宋"/>
          <w:color w:val="auto"/>
          <w:sz w:val="32"/>
          <w:szCs w:val="32"/>
          <w:highlight w:val="yellow"/>
          <w:lang w:val="en-US" w:eastAsia="zh-CN"/>
        </w:rPr>
      </w:pPr>
      <w:r>
        <w:rPr>
          <w:rFonts w:hint="eastAsia" w:ascii="仿宋" w:hAnsi="仿宋" w:eastAsia="仿宋" w:cs="仿宋"/>
          <w:color w:val="auto"/>
          <w:sz w:val="32"/>
          <w:szCs w:val="32"/>
          <w:highlight w:val="yellow"/>
          <w:lang w:val="en-US" w:eastAsia="zh-CN"/>
        </w:rPr>
        <w:br w:type="page"/>
      </w:r>
    </w:p>
    <w:p>
      <w:pPr>
        <w:ind w:firstLine="640" w:firstLineChars="200"/>
        <w:rPr>
          <w:rFonts w:hint="eastAsia" w:ascii="仿宋" w:hAnsi="仿宋" w:eastAsia="仿宋" w:cs="仿宋"/>
          <w:color w:val="auto"/>
          <w:sz w:val="32"/>
          <w:szCs w:val="32"/>
          <w:highlight w:val="yellow"/>
          <w:lang w:val="en-US" w:eastAsia="zh-CN"/>
        </w:rPr>
      </w:pPr>
    </w:p>
    <w:p>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商务要求：</w:t>
      </w:r>
    </w:p>
    <w:p>
      <w:pPr>
        <w:numPr>
          <w:ilvl w:val="0"/>
          <w:numId w:val="0"/>
        </w:numPr>
        <w:ind w:firstLine="640" w:firstLineChars="200"/>
        <w:jc w:val="both"/>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交货时间：合同签订生效之日起</w:t>
      </w:r>
      <w:r>
        <w:rPr>
          <w:rFonts w:hint="eastAsia" w:ascii="仿宋" w:hAnsi="仿宋" w:eastAsia="仿宋" w:cs="仿宋"/>
          <w:color w:val="auto"/>
          <w:sz w:val="32"/>
          <w:szCs w:val="32"/>
          <w:highlight w:val="none"/>
          <w:lang w:val="en-US" w:eastAsia="zh-CN"/>
        </w:rPr>
        <w:t>20</w:t>
      </w:r>
      <w:r>
        <w:rPr>
          <w:rFonts w:hint="eastAsia" w:ascii="仿宋" w:hAnsi="仿宋" w:eastAsia="仿宋" w:cs="仿宋"/>
          <w:color w:val="auto"/>
          <w:sz w:val="32"/>
          <w:szCs w:val="32"/>
          <w:highlight w:val="none"/>
        </w:rPr>
        <w:t>天内交货</w:t>
      </w:r>
    </w:p>
    <w:p>
      <w:pPr>
        <w:numPr>
          <w:ilvl w:val="0"/>
          <w:numId w:val="0"/>
        </w:numPr>
        <w:ind w:firstLine="640" w:firstLineChars="200"/>
        <w:jc w:val="both"/>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交货地点：采购人指定地点</w:t>
      </w:r>
      <w:r>
        <w:rPr>
          <w:rFonts w:hint="eastAsia" w:ascii="仿宋" w:hAnsi="仿宋" w:eastAsia="仿宋" w:cs="仿宋"/>
          <w:color w:val="auto"/>
          <w:sz w:val="32"/>
          <w:szCs w:val="32"/>
          <w:highlight w:val="none"/>
          <w:lang w:eastAsia="zh-CN"/>
        </w:rPr>
        <w:t>。</w:t>
      </w:r>
    </w:p>
    <w:p>
      <w:pPr>
        <w:numPr>
          <w:ilvl w:val="0"/>
          <w:numId w:val="0"/>
        </w:numPr>
        <w:ind w:firstLine="640" w:firstLineChars="200"/>
        <w:jc w:val="both"/>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3.付款方式：安装验收合格，提供有效票据后30日内，付款97%；留3%质保金，在验收合格之日算起，一年内凭有效票据无息支付。</w:t>
      </w:r>
    </w:p>
    <w:p>
      <w:pPr>
        <w:numPr>
          <w:ilvl w:val="0"/>
          <w:numId w:val="0"/>
        </w:numPr>
        <w:ind w:firstLine="640" w:firstLineChars="200"/>
        <w:jc w:val="both"/>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4.违约责任及解决争议的方法：合同履行期间，若双方发生争议，可协商或由有关部门协调解决，协商或协调不成功的，双方均可向五通桥区人民法院提起诉讼依法维护其合法权益。</w:t>
      </w:r>
    </w:p>
    <w:p>
      <w:pPr>
        <w:ind w:firstLine="640" w:firstLineChars="200"/>
        <w:rPr>
          <w:rFonts w:hint="default" w:ascii="仿宋" w:hAnsi="仿宋" w:eastAsia="仿宋" w:cs="仿宋"/>
          <w:color w:val="auto"/>
          <w:sz w:val="32"/>
          <w:szCs w:val="32"/>
          <w:highlight w:val="red"/>
          <w:lang w:val="en-US" w:eastAsia="zh-CN"/>
        </w:rPr>
      </w:pPr>
      <w:bookmarkStart w:id="16" w:name="_GoBack"/>
      <w:bookmarkEnd w:id="16"/>
    </w:p>
    <w:p>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评分细则：</w:t>
      </w:r>
    </w:p>
    <w:tbl>
      <w:tblPr>
        <w:tblStyle w:val="21"/>
        <w:tblW w:w="104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20"/>
        <w:gridCol w:w="1097"/>
        <w:gridCol w:w="808"/>
        <w:gridCol w:w="7235"/>
        <w:gridCol w:w="8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9" w:hRule="atLeast"/>
        </w:trPr>
        <w:tc>
          <w:tcPr>
            <w:tcW w:w="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序号</w:t>
            </w:r>
          </w:p>
        </w:tc>
        <w:tc>
          <w:tcPr>
            <w:tcW w:w="10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评分因素及权重</w:t>
            </w:r>
          </w:p>
        </w:tc>
        <w:tc>
          <w:tcPr>
            <w:tcW w:w="8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分值</w:t>
            </w:r>
          </w:p>
        </w:tc>
        <w:tc>
          <w:tcPr>
            <w:tcW w:w="7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评分标准</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17" w:hRule="atLeast"/>
        </w:trPr>
        <w:tc>
          <w:tcPr>
            <w:tcW w:w="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1</w:t>
            </w:r>
          </w:p>
        </w:tc>
        <w:tc>
          <w:tcPr>
            <w:tcW w:w="10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报价30%</w:t>
            </w:r>
          </w:p>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tc>
        <w:tc>
          <w:tcPr>
            <w:tcW w:w="8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30分</w:t>
            </w:r>
          </w:p>
        </w:tc>
        <w:tc>
          <w:tcPr>
            <w:tcW w:w="7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以满足采购文件要求且报价最低的作为基准价，其价格分为满分，其余报价得分=（基准价／报价）×30。</w:t>
            </w:r>
          </w:p>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trPr>
        <w:tc>
          <w:tcPr>
            <w:tcW w:w="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2</w:t>
            </w:r>
          </w:p>
        </w:tc>
        <w:tc>
          <w:tcPr>
            <w:tcW w:w="10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技术及其他要求38%</w:t>
            </w:r>
          </w:p>
        </w:tc>
        <w:tc>
          <w:tcPr>
            <w:tcW w:w="8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38分</w:t>
            </w:r>
          </w:p>
        </w:tc>
        <w:tc>
          <w:tcPr>
            <w:tcW w:w="7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投标产品的技术参数完全满足招标文件中技术参数及要求的得满分38分，一项不满足扣2分；根据以上原则进行累计扣分，扣完为止。</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30" w:hRule="atLeast"/>
        </w:trPr>
        <w:tc>
          <w:tcPr>
            <w:tcW w:w="52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3</w:t>
            </w:r>
          </w:p>
        </w:tc>
        <w:tc>
          <w:tcPr>
            <w:tcW w:w="1097"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履约能力8%</w:t>
            </w:r>
          </w:p>
        </w:tc>
        <w:tc>
          <w:tcPr>
            <w:tcW w:w="808"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8分</w:t>
            </w:r>
          </w:p>
        </w:tc>
        <w:tc>
          <w:tcPr>
            <w:tcW w:w="723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2023年至今已完成过的类似项目履约能力证明材料，每提供一个得2分，最多得8分，不提供不得分。</w:t>
            </w:r>
          </w:p>
        </w:tc>
        <w:tc>
          <w:tcPr>
            <w:tcW w:w="83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71" w:hRule="atLeast"/>
        </w:trPr>
        <w:tc>
          <w:tcPr>
            <w:tcW w:w="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4</w:t>
            </w:r>
          </w:p>
        </w:tc>
        <w:tc>
          <w:tcPr>
            <w:tcW w:w="10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售后服务18%</w:t>
            </w:r>
          </w:p>
        </w:tc>
        <w:tc>
          <w:tcPr>
            <w:tcW w:w="8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18分</w:t>
            </w:r>
          </w:p>
        </w:tc>
        <w:tc>
          <w:tcPr>
            <w:tcW w:w="7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供应商针对本项目的售后服务方案在承诺的质量保证范围、售后服务、维修响应时间等方面进行综合评定。售后服务方案优者得18分，方案合理者得14分，方案较合理者得10分，以此类推，不提供不得分。</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71" w:hRule="atLeast"/>
        </w:trPr>
        <w:tc>
          <w:tcPr>
            <w:tcW w:w="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5</w:t>
            </w:r>
          </w:p>
        </w:tc>
        <w:tc>
          <w:tcPr>
            <w:tcW w:w="10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样品6%</w:t>
            </w:r>
          </w:p>
        </w:tc>
        <w:tc>
          <w:tcPr>
            <w:tcW w:w="8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6分</w:t>
            </w:r>
          </w:p>
        </w:tc>
        <w:tc>
          <w:tcPr>
            <w:tcW w:w="7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①实木颗粒板样品150mm*150mm*25mm（长*宽*厚，允许误差±2mm）三面封边，一面基材外露。应无毛刺、锐棱、裂纹的缺陷。符合的得2分，不符合的不得分。 ②钢板样品200mm*200mm*1.0mm(长*宽*厚，允许误差±0.2mm)。应光滑均匀，无破损、无斑渍、无腐蚀、涂层无脱色、掉色现象。符合的得2分，不符合的不得分。 ③海绵样品150mm*150mm*45mm(长*宽*高，允许误差±5mm)。表面应无凹陷，色泽一致，应无破损、霉变、异味。符合的得2分，不符合的不得分。 本项最多得6分。</w:t>
            </w:r>
          </w:p>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注：凡是出现下列任一情况的样品均为0分：a.不满足招标文件送样要求的；b.少送样品、错送样品或样品功能无法进行正常使用的；c.未提供样品的。</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tc>
      </w:tr>
    </w:tbl>
    <w:p>
      <w:pPr>
        <w:keepNext w:val="0"/>
        <w:keepLines w:val="0"/>
        <w:widowControl/>
        <w:suppressLineNumbers w:val="0"/>
        <w:jc w:val="left"/>
        <w:textAlignment w:val="center"/>
        <w:rPr>
          <w:rFonts w:hint="default" w:ascii="宋体" w:hAnsi="宋体" w:eastAsia="宋体" w:cs="宋体"/>
          <w:i w:val="0"/>
          <w:color w:val="auto"/>
          <w:kern w:val="0"/>
          <w:sz w:val="24"/>
          <w:szCs w:val="24"/>
          <w:highlight w:val="none"/>
          <w:u w:val="none"/>
          <w:lang w:val="en-US" w:eastAsia="zh-CN" w:bidi="ar"/>
        </w:rPr>
      </w:pPr>
    </w:p>
    <w:sectPr>
      <w:headerReference r:id="rId4" w:type="first"/>
      <w:footerReference r:id="rId6" w:type="first"/>
      <w:headerReference r:id="rId3" w:type="default"/>
      <w:footerReference r:id="rId5" w:type="default"/>
      <w:pgSz w:w="11906" w:h="16838"/>
      <w:pgMar w:top="720" w:right="720" w:bottom="720" w:left="720" w:header="680" w:footer="680" w:gutter="0"/>
      <w:pgBorders>
        <w:top w:val="none" w:sz="0" w:space="0"/>
        <w:left w:val="none" w:sz="0" w:space="0"/>
        <w:bottom w:val="none" w:sz="0" w:space="0"/>
        <w:right w:val="none" w:sz="0" w:space="0"/>
      </w:pgBorders>
      <w:pgNumType w:fmt="decimal"/>
      <w:cols w:space="0" w:num="1"/>
      <w:titlePg/>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rPr>
                              <w:sz w:val="24"/>
                              <w:szCs w:val="24"/>
                            </w:rPr>
                          </w:pPr>
                          <w:r>
                            <w:rPr>
                              <w:sz w:val="24"/>
                              <w:szCs w:val="24"/>
                            </w:rPr>
                            <w:t xml:space="preserve">第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r>
                            <w:rPr>
                              <w:sz w:val="24"/>
                              <w:szCs w:val="24"/>
                            </w:rPr>
                            <w:t xml:space="preserve"> 页 共 </w:t>
                          </w:r>
                          <w:r>
                            <w:rPr>
                              <w:sz w:val="24"/>
                              <w:szCs w:val="24"/>
                            </w:rPr>
                            <w:fldChar w:fldCharType="begin"/>
                          </w:r>
                          <w:r>
                            <w:rPr>
                              <w:sz w:val="24"/>
                              <w:szCs w:val="24"/>
                            </w:rPr>
                            <w:instrText xml:space="preserve"> NUMPAGES  \* MERGEFORMAT </w:instrText>
                          </w:r>
                          <w:r>
                            <w:rPr>
                              <w:sz w:val="24"/>
                              <w:szCs w:val="24"/>
                            </w:rPr>
                            <w:fldChar w:fldCharType="separate"/>
                          </w:r>
                          <w:r>
                            <w:rPr>
                              <w:sz w:val="24"/>
                              <w:szCs w:val="24"/>
                            </w:rPr>
                            <w:t>13</w:t>
                          </w:r>
                          <w:r>
                            <w:rPr>
                              <w:sz w:val="24"/>
                              <w:szCs w:val="24"/>
                            </w:rPr>
                            <w:fldChar w:fldCharType="end"/>
                          </w:r>
                          <w:r>
                            <w:rPr>
                              <w:sz w:val="24"/>
                              <w:szCs w:val="24"/>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14"/>
                      <w:rPr>
                        <w:sz w:val="24"/>
                        <w:szCs w:val="24"/>
                      </w:rPr>
                    </w:pPr>
                    <w:r>
                      <w:rPr>
                        <w:sz w:val="24"/>
                        <w:szCs w:val="24"/>
                      </w:rPr>
                      <w:t xml:space="preserve">第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r>
                      <w:rPr>
                        <w:sz w:val="24"/>
                        <w:szCs w:val="24"/>
                      </w:rPr>
                      <w:t xml:space="preserve"> 页 共 </w:t>
                    </w:r>
                    <w:r>
                      <w:rPr>
                        <w:sz w:val="24"/>
                        <w:szCs w:val="24"/>
                      </w:rPr>
                      <w:fldChar w:fldCharType="begin"/>
                    </w:r>
                    <w:r>
                      <w:rPr>
                        <w:sz w:val="24"/>
                        <w:szCs w:val="24"/>
                      </w:rPr>
                      <w:instrText xml:space="preserve"> NUMPAGES  \* MERGEFORMAT </w:instrText>
                    </w:r>
                    <w:r>
                      <w:rPr>
                        <w:sz w:val="24"/>
                        <w:szCs w:val="24"/>
                      </w:rPr>
                      <w:fldChar w:fldCharType="separate"/>
                    </w:r>
                    <w:r>
                      <w:rPr>
                        <w:sz w:val="24"/>
                        <w:szCs w:val="24"/>
                      </w:rPr>
                      <w:t>13</w:t>
                    </w:r>
                    <w:r>
                      <w:rPr>
                        <w:sz w:val="24"/>
                        <w:szCs w:val="24"/>
                      </w:rPr>
                      <w:fldChar w:fldCharType="end"/>
                    </w:r>
                    <w:r>
                      <w:rPr>
                        <w:sz w:val="24"/>
                        <w:szCs w:val="24"/>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1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jc w:val="both"/>
      <w:rPr>
        <w:rFonts w:hint="eastAsia" w:eastAsiaTheme="minor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B0FD13"/>
    <w:multiLevelType w:val="singleLevel"/>
    <w:tmpl w:val="C0B0FD13"/>
    <w:lvl w:ilvl="0" w:tentative="0">
      <w:start w:val="4"/>
      <w:numFmt w:val="chineseCounting"/>
      <w:suff w:val="space"/>
      <w:lvlText w:val="第%1章"/>
      <w:lvlJc w:val="left"/>
      <w:rPr>
        <w:rFonts w:hint="eastAsia"/>
      </w:rPr>
    </w:lvl>
  </w:abstractNum>
  <w:abstractNum w:abstractNumId="1">
    <w:nsid w:val="C45F5704"/>
    <w:multiLevelType w:val="singleLevel"/>
    <w:tmpl w:val="C45F570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ViN2VmZThjMzNiOWMyOWMxMTEwM2ZiOGYwYzY1NzgifQ=="/>
  </w:docVars>
  <w:rsids>
    <w:rsidRoot w:val="20B86F62"/>
    <w:rsid w:val="00FE51BA"/>
    <w:rsid w:val="01724615"/>
    <w:rsid w:val="01AC44D5"/>
    <w:rsid w:val="01DA1F83"/>
    <w:rsid w:val="02647ECA"/>
    <w:rsid w:val="02653FAC"/>
    <w:rsid w:val="038264FB"/>
    <w:rsid w:val="03906A9D"/>
    <w:rsid w:val="03E45948"/>
    <w:rsid w:val="03EB6F22"/>
    <w:rsid w:val="04487BA9"/>
    <w:rsid w:val="047168CE"/>
    <w:rsid w:val="047A7398"/>
    <w:rsid w:val="04976AF6"/>
    <w:rsid w:val="05813897"/>
    <w:rsid w:val="05B93485"/>
    <w:rsid w:val="05DD44EC"/>
    <w:rsid w:val="05FA4A68"/>
    <w:rsid w:val="064447CD"/>
    <w:rsid w:val="06665856"/>
    <w:rsid w:val="067E55F8"/>
    <w:rsid w:val="06C83EF1"/>
    <w:rsid w:val="07515969"/>
    <w:rsid w:val="07954271"/>
    <w:rsid w:val="07E32607"/>
    <w:rsid w:val="083F7233"/>
    <w:rsid w:val="08570094"/>
    <w:rsid w:val="0892424A"/>
    <w:rsid w:val="08A100E8"/>
    <w:rsid w:val="08D706EB"/>
    <w:rsid w:val="09281C73"/>
    <w:rsid w:val="092B0852"/>
    <w:rsid w:val="099C0C65"/>
    <w:rsid w:val="09CF2980"/>
    <w:rsid w:val="0A5766D2"/>
    <w:rsid w:val="0B481B96"/>
    <w:rsid w:val="0B4A45B6"/>
    <w:rsid w:val="0B5B6EA7"/>
    <w:rsid w:val="0B9B184D"/>
    <w:rsid w:val="0BBF2600"/>
    <w:rsid w:val="0BD01E0A"/>
    <w:rsid w:val="0C145251"/>
    <w:rsid w:val="0C3E61B9"/>
    <w:rsid w:val="0C722FDF"/>
    <w:rsid w:val="0DA12370"/>
    <w:rsid w:val="0DBF0EC4"/>
    <w:rsid w:val="0DCC47DB"/>
    <w:rsid w:val="0DE40DBE"/>
    <w:rsid w:val="0E672DB3"/>
    <w:rsid w:val="0E904937"/>
    <w:rsid w:val="0E9E1831"/>
    <w:rsid w:val="0EAB0093"/>
    <w:rsid w:val="0EEB0C68"/>
    <w:rsid w:val="0F225786"/>
    <w:rsid w:val="0FCE2C6B"/>
    <w:rsid w:val="107F49DA"/>
    <w:rsid w:val="11103FB2"/>
    <w:rsid w:val="11106DD4"/>
    <w:rsid w:val="113065C7"/>
    <w:rsid w:val="11551C0D"/>
    <w:rsid w:val="11630C29"/>
    <w:rsid w:val="11FC5B74"/>
    <w:rsid w:val="12374305"/>
    <w:rsid w:val="126E39B3"/>
    <w:rsid w:val="12AB3D92"/>
    <w:rsid w:val="132D67B3"/>
    <w:rsid w:val="13320F8E"/>
    <w:rsid w:val="13704990"/>
    <w:rsid w:val="13E72023"/>
    <w:rsid w:val="159705C2"/>
    <w:rsid w:val="15E24AF5"/>
    <w:rsid w:val="17685E02"/>
    <w:rsid w:val="182F44F3"/>
    <w:rsid w:val="184E41FF"/>
    <w:rsid w:val="1865790E"/>
    <w:rsid w:val="189E6B7E"/>
    <w:rsid w:val="18E41C4F"/>
    <w:rsid w:val="18EA25BB"/>
    <w:rsid w:val="19047BC4"/>
    <w:rsid w:val="193B3817"/>
    <w:rsid w:val="19497A6B"/>
    <w:rsid w:val="1998123A"/>
    <w:rsid w:val="19DF1744"/>
    <w:rsid w:val="1A0062D3"/>
    <w:rsid w:val="1A1375F5"/>
    <w:rsid w:val="1A8B6B5A"/>
    <w:rsid w:val="1AC265D5"/>
    <w:rsid w:val="1AF5353D"/>
    <w:rsid w:val="1B493578"/>
    <w:rsid w:val="1B5723EF"/>
    <w:rsid w:val="1B93321C"/>
    <w:rsid w:val="1BAD400C"/>
    <w:rsid w:val="1C380FAC"/>
    <w:rsid w:val="1DE81A96"/>
    <w:rsid w:val="1E127696"/>
    <w:rsid w:val="1E4521C9"/>
    <w:rsid w:val="1EC85776"/>
    <w:rsid w:val="1F0B1E38"/>
    <w:rsid w:val="1F176598"/>
    <w:rsid w:val="1F782175"/>
    <w:rsid w:val="1FF30B58"/>
    <w:rsid w:val="1FFB4E00"/>
    <w:rsid w:val="200C1DCC"/>
    <w:rsid w:val="2024443A"/>
    <w:rsid w:val="20B62B46"/>
    <w:rsid w:val="20B86F62"/>
    <w:rsid w:val="20DA469D"/>
    <w:rsid w:val="21141E9E"/>
    <w:rsid w:val="216C2703"/>
    <w:rsid w:val="219C0935"/>
    <w:rsid w:val="219C0C5F"/>
    <w:rsid w:val="223E3923"/>
    <w:rsid w:val="22CD72A0"/>
    <w:rsid w:val="22DC6C27"/>
    <w:rsid w:val="230709BE"/>
    <w:rsid w:val="2333299E"/>
    <w:rsid w:val="23B92E0F"/>
    <w:rsid w:val="245C589E"/>
    <w:rsid w:val="24640781"/>
    <w:rsid w:val="24972E1D"/>
    <w:rsid w:val="25730E93"/>
    <w:rsid w:val="2575459C"/>
    <w:rsid w:val="258F1C50"/>
    <w:rsid w:val="25FF1289"/>
    <w:rsid w:val="260C2C13"/>
    <w:rsid w:val="26DE5391"/>
    <w:rsid w:val="26F92D9C"/>
    <w:rsid w:val="27483067"/>
    <w:rsid w:val="27727EF2"/>
    <w:rsid w:val="27847B1B"/>
    <w:rsid w:val="27E167C8"/>
    <w:rsid w:val="27E8188C"/>
    <w:rsid w:val="27FC6D6D"/>
    <w:rsid w:val="280F7F64"/>
    <w:rsid w:val="286E79EF"/>
    <w:rsid w:val="295D2E54"/>
    <w:rsid w:val="29E733A5"/>
    <w:rsid w:val="29EC6ACA"/>
    <w:rsid w:val="2A571F3F"/>
    <w:rsid w:val="2A6F6F5A"/>
    <w:rsid w:val="2A752D03"/>
    <w:rsid w:val="2A843F12"/>
    <w:rsid w:val="2A954942"/>
    <w:rsid w:val="2ABD6DFF"/>
    <w:rsid w:val="2AD02384"/>
    <w:rsid w:val="2B4A4982"/>
    <w:rsid w:val="2B6C2AA5"/>
    <w:rsid w:val="2C3A64AA"/>
    <w:rsid w:val="2C603C27"/>
    <w:rsid w:val="2C7B5CE1"/>
    <w:rsid w:val="2CA05064"/>
    <w:rsid w:val="2CC9483E"/>
    <w:rsid w:val="2CD61AC0"/>
    <w:rsid w:val="2D003A0D"/>
    <w:rsid w:val="2D225054"/>
    <w:rsid w:val="2D3E76EB"/>
    <w:rsid w:val="2D675D4F"/>
    <w:rsid w:val="2DAD2928"/>
    <w:rsid w:val="2DC54F7B"/>
    <w:rsid w:val="2E3D6C9E"/>
    <w:rsid w:val="2E681D4B"/>
    <w:rsid w:val="2E763F41"/>
    <w:rsid w:val="2ED755ED"/>
    <w:rsid w:val="2EFF3B7B"/>
    <w:rsid w:val="2F2D5CF3"/>
    <w:rsid w:val="2FC87E71"/>
    <w:rsid w:val="2FFD053A"/>
    <w:rsid w:val="305074F8"/>
    <w:rsid w:val="30567424"/>
    <w:rsid w:val="30A47F0F"/>
    <w:rsid w:val="31240107"/>
    <w:rsid w:val="31AE2E30"/>
    <w:rsid w:val="32145B6C"/>
    <w:rsid w:val="32482F63"/>
    <w:rsid w:val="324D6948"/>
    <w:rsid w:val="32887A79"/>
    <w:rsid w:val="32CD64C2"/>
    <w:rsid w:val="3367096B"/>
    <w:rsid w:val="34015BA1"/>
    <w:rsid w:val="34104944"/>
    <w:rsid w:val="34607C42"/>
    <w:rsid w:val="34924F5A"/>
    <w:rsid w:val="34AD3121"/>
    <w:rsid w:val="35715602"/>
    <w:rsid w:val="35850C85"/>
    <w:rsid w:val="358537EA"/>
    <w:rsid w:val="36206E51"/>
    <w:rsid w:val="3645059F"/>
    <w:rsid w:val="36812F2E"/>
    <w:rsid w:val="36FA0C0E"/>
    <w:rsid w:val="37564C34"/>
    <w:rsid w:val="37AF0C3F"/>
    <w:rsid w:val="381338B3"/>
    <w:rsid w:val="387820A1"/>
    <w:rsid w:val="391D2725"/>
    <w:rsid w:val="39241426"/>
    <w:rsid w:val="398A6354"/>
    <w:rsid w:val="39B7267D"/>
    <w:rsid w:val="39EE61F2"/>
    <w:rsid w:val="3A0A5821"/>
    <w:rsid w:val="3A5C5257"/>
    <w:rsid w:val="3ADC539A"/>
    <w:rsid w:val="3AE30FAC"/>
    <w:rsid w:val="3B3A67B9"/>
    <w:rsid w:val="3B572D45"/>
    <w:rsid w:val="3B65061B"/>
    <w:rsid w:val="3BB47094"/>
    <w:rsid w:val="3BC33BA3"/>
    <w:rsid w:val="3BD82555"/>
    <w:rsid w:val="3C396CD8"/>
    <w:rsid w:val="3D912EF9"/>
    <w:rsid w:val="3DA25E25"/>
    <w:rsid w:val="3DC426FF"/>
    <w:rsid w:val="3E103198"/>
    <w:rsid w:val="3E5C675F"/>
    <w:rsid w:val="3EBE1131"/>
    <w:rsid w:val="3F541632"/>
    <w:rsid w:val="3FFA142D"/>
    <w:rsid w:val="4003626C"/>
    <w:rsid w:val="40B95FA6"/>
    <w:rsid w:val="410C5355"/>
    <w:rsid w:val="416F0B2D"/>
    <w:rsid w:val="41817FB6"/>
    <w:rsid w:val="41894D39"/>
    <w:rsid w:val="41A91634"/>
    <w:rsid w:val="41C408EB"/>
    <w:rsid w:val="41E85D9F"/>
    <w:rsid w:val="421364F5"/>
    <w:rsid w:val="426D0D62"/>
    <w:rsid w:val="42893EDE"/>
    <w:rsid w:val="42C02DF3"/>
    <w:rsid w:val="42CD5B5D"/>
    <w:rsid w:val="43102EB4"/>
    <w:rsid w:val="431A22B8"/>
    <w:rsid w:val="439A1C32"/>
    <w:rsid w:val="43C05837"/>
    <w:rsid w:val="43EA5A8B"/>
    <w:rsid w:val="440E56DA"/>
    <w:rsid w:val="443E01E7"/>
    <w:rsid w:val="445D40B2"/>
    <w:rsid w:val="44665196"/>
    <w:rsid w:val="44A25016"/>
    <w:rsid w:val="44CD6391"/>
    <w:rsid w:val="44D66D93"/>
    <w:rsid w:val="45484D77"/>
    <w:rsid w:val="454B049A"/>
    <w:rsid w:val="45976AE3"/>
    <w:rsid w:val="45D1027C"/>
    <w:rsid w:val="46653F5C"/>
    <w:rsid w:val="4670116D"/>
    <w:rsid w:val="46BF177E"/>
    <w:rsid w:val="46CC0FBC"/>
    <w:rsid w:val="46DD15C6"/>
    <w:rsid w:val="46F821E8"/>
    <w:rsid w:val="47835BCD"/>
    <w:rsid w:val="47E92A18"/>
    <w:rsid w:val="484F3834"/>
    <w:rsid w:val="486A1208"/>
    <w:rsid w:val="487E3CCE"/>
    <w:rsid w:val="491D7010"/>
    <w:rsid w:val="492763FA"/>
    <w:rsid w:val="49F61C6A"/>
    <w:rsid w:val="4A2F0F8F"/>
    <w:rsid w:val="4A92068D"/>
    <w:rsid w:val="4AF20E01"/>
    <w:rsid w:val="4B21070C"/>
    <w:rsid w:val="4B9138ED"/>
    <w:rsid w:val="4BD016F9"/>
    <w:rsid w:val="4C5440D8"/>
    <w:rsid w:val="4C6D260E"/>
    <w:rsid w:val="4C70240B"/>
    <w:rsid w:val="4CA65850"/>
    <w:rsid w:val="4D4867BB"/>
    <w:rsid w:val="4D7854C0"/>
    <w:rsid w:val="4E1C022A"/>
    <w:rsid w:val="4E1E1D89"/>
    <w:rsid w:val="4FA771C2"/>
    <w:rsid w:val="4FDC7DDA"/>
    <w:rsid w:val="5003209D"/>
    <w:rsid w:val="50382023"/>
    <w:rsid w:val="508E2B4E"/>
    <w:rsid w:val="51BF508E"/>
    <w:rsid w:val="51EE0DA2"/>
    <w:rsid w:val="524A480D"/>
    <w:rsid w:val="5263348D"/>
    <w:rsid w:val="527E7420"/>
    <w:rsid w:val="5292301A"/>
    <w:rsid w:val="52C10CD7"/>
    <w:rsid w:val="52F64CB8"/>
    <w:rsid w:val="52FB39A7"/>
    <w:rsid w:val="531641E9"/>
    <w:rsid w:val="53CF2FCA"/>
    <w:rsid w:val="5446604D"/>
    <w:rsid w:val="547E1AE0"/>
    <w:rsid w:val="54F554AC"/>
    <w:rsid w:val="551A0D5D"/>
    <w:rsid w:val="55EE4C06"/>
    <w:rsid w:val="561A148B"/>
    <w:rsid w:val="565B213D"/>
    <w:rsid w:val="56773B8D"/>
    <w:rsid w:val="56D444B4"/>
    <w:rsid w:val="572D0183"/>
    <w:rsid w:val="57567F4A"/>
    <w:rsid w:val="57667B7B"/>
    <w:rsid w:val="578D66D2"/>
    <w:rsid w:val="580A2903"/>
    <w:rsid w:val="582D72C1"/>
    <w:rsid w:val="58367041"/>
    <w:rsid w:val="583A1E71"/>
    <w:rsid w:val="584A40DF"/>
    <w:rsid w:val="589814E3"/>
    <w:rsid w:val="58B969E6"/>
    <w:rsid w:val="58C42CE6"/>
    <w:rsid w:val="59035A6B"/>
    <w:rsid w:val="592C7507"/>
    <w:rsid w:val="59A37B89"/>
    <w:rsid w:val="59D35B7E"/>
    <w:rsid w:val="5A2E686F"/>
    <w:rsid w:val="5AD57F9B"/>
    <w:rsid w:val="5AD77D82"/>
    <w:rsid w:val="5B134CBA"/>
    <w:rsid w:val="5B214FE3"/>
    <w:rsid w:val="5C557763"/>
    <w:rsid w:val="5CC55E89"/>
    <w:rsid w:val="5CC74DB0"/>
    <w:rsid w:val="5DA41796"/>
    <w:rsid w:val="5DBE13B2"/>
    <w:rsid w:val="5DC167D7"/>
    <w:rsid w:val="5EC40D23"/>
    <w:rsid w:val="5F0E08C6"/>
    <w:rsid w:val="5F5075CA"/>
    <w:rsid w:val="5F7007A2"/>
    <w:rsid w:val="5F85487D"/>
    <w:rsid w:val="5FB650D9"/>
    <w:rsid w:val="5FBA4BFF"/>
    <w:rsid w:val="6096215E"/>
    <w:rsid w:val="626070DF"/>
    <w:rsid w:val="62B86D17"/>
    <w:rsid w:val="62C824CA"/>
    <w:rsid w:val="62F635E4"/>
    <w:rsid w:val="635F68CB"/>
    <w:rsid w:val="642A2386"/>
    <w:rsid w:val="643D3CC1"/>
    <w:rsid w:val="64677320"/>
    <w:rsid w:val="653C0392"/>
    <w:rsid w:val="6586792A"/>
    <w:rsid w:val="65DD20B3"/>
    <w:rsid w:val="662C503A"/>
    <w:rsid w:val="66BB543F"/>
    <w:rsid w:val="66C47D68"/>
    <w:rsid w:val="67A45BAF"/>
    <w:rsid w:val="67C441FC"/>
    <w:rsid w:val="67CF5796"/>
    <w:rsid w:val="6855309E"/>
    <w:rsid w:val="68B23C16"/>
    <w:rsid w:val="69264D03"/>
    <w:rsid w:val="694F76A8"/>
    <w:rsid w:val="697B0A9F"/>
    <w:rsid w:val="69884565"/>
    <w:rsid w:val="69CF4DB4"/>
    <w:rsid w:val="69F16575"/>
    <w:rsid w:val="69FE6269"/>
    <w:rsid w:val="6AD02878"/>
    <w:rsid w:val="6B110ED0"/>
    <w:rsid w:val="6B3D74AC"/>
    <w:rsid w:val="6B581098"/>
    <w:rsid w:val="6BF5199F"/>
    <w:rsid w:val="6C81461E"/>
    <w:rsid w:val="6CC41F1C"/>
    <w:rsid w:val="6CE610BF"/>
    <w:rsid w:val="6CED312F"/>
    <w:rsid w:val="6CF2654E"/>
    <w:rsid w:val="6D1916FD"/>
    <w:rsid w:val="6D226C43"/>
    <w:rsid w:val="6D2A0EDA"/>
    <w:rsid w:val="6D535020"/>
    <w:rsid w:val="6DCF5925"/>
    <w:rsid w:val="6DD644F6"/>
    <w:rsid w:val="6E1A42BA"/>
    <w:rsid w:val="6E383ABA"/>
    <w:rsid w:val="6E8B493F"/>
    <w:rsid w:val="6EA3545A"/>
    <w:rsid w:val="6F0574C4"/>
    <w:rsid w:val="6F25512F"/>
    <w:rsid w:val="6F9F7F7D"/>
    <w:rsid w:val="6FD73D1A"/>
    <w:rsid w:val="70FF3D63"/>
    <w:rsid w:val="719A4F83"/>
    <w:rsid w:val="71DE50A5"/>
    <w:rsid w:val="722B548E"/>
    <w:rsid w:val="722E4AEA"/>
    <w:rsid w:val="73230331"/>
    <w:rsid w:val="73683978"/>
    <w:rsid w:val="73F43F5E"/>
    <w:rsid w:val="7438150C"/>
    <w:rsid w:val="746F037C"/>
    <w:rsid w:val="74802750"/>
    <w:rsid w:val="74D379E1"/>
    <w:rsid w:val="74F82EAA"/>
    <w:rsid w:val="75457DB7"/>
    <w:rsid w:val="7563067A"/>
    <w:rsid w:val="75E55D62"/>
    <w:rsid w:val="76466533"/>
    <w:rsid w:val="76B95234"/>
    <w:rsid w:val="77153735"/>
    <w:rsid w:val="77903BF7"/>
    <w:rsid w:val="77B4693A"/>
    <w:rsid w:val="77F97E1C"/>
    <w:rsid w:val="785111E8"/>
    <w:rsid w:val="78972AD3"/>
    <w:rsid w:val="78E831F4"/>
    <w:rsid w:val="79AC141B"/>
    <w:rsid w:val="79B51E35"/>
    <w:rsid w:val="79EA27D4"/>
    <w:rsid w:val="7A5618FB"/>
    <w:rsid w:val="7A606FAF"/>
    <w:rsid w:val="7AE23540"/>
    <w:rsid w:val="7B40776F"/>
    <w:rsid w:val="7C29457B"/>
    <w:rsid w:val="7CD44FE8"/>
    <w:rsid w:val="7CE9423F"/>
    <w:rsid w:val="7D9A1A1C"/>
    <w:rsid w:val="7E163DF2"/>
    <w:rsid w:val="7E1D587C"/>
    <w:rsid w:val="7E1E62DD"/>
    <w:rsid w:val="7E220861"/>
    <w:rsid w:val="7E9A50CB"/>
    <w:rsid w:val="7EE2433D"/>
    <w:rsid w:val="7F1A184B"/>
    <w:rsid w:val="7F4A08A0"/>
    <w:rsid w:val="7F95659D"/>
    <w:rsid w:val="7FE917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3"/>
    <w:qFormat/>
    <w:uiPriority w:val="0"/>
    <w:pPr>
      <w:keepNext/>
      <w:keepLines/>
      <w:spacing w:beforeLines="0" w:beforeAutospacing="0" w:afterLines="0" w:afterAutospacing="0" w:line="360" w:lineRule="auto"/>
      <w:jc w:val="center"/>
      <w:outlineLvl w:val="0"/>
    </w:pPr>
    <w:rPr>
      <w:rFonts w:hint="eastAsia" w:ascii="Times New Roman" w:hAnsi="Times New Roman" w:eastAsia="宋体"/>
      <w:b/>
      <w:color w:val="000000"/>
      <w:kern w:val="44"/>
      <w:sz w:val="44"/>
      <w:lang w:val="zh-CN"/>
    </w:rPr>
  </w:style>
  <w:style w:type="paragraph" w:styleId="3">
    <w:name w:val="heading 2"/>
    <w:basedOn w:val="1"/>
    <w:next w:val="1"/>
    <w:qFormat/>
    <w:uiPriority w:val="9"/>
    <w:pPr>
      <w:keepNext/>
      <w:keepLines/>
      <w:spacing w:before="260" w:after="260" w:line="240" w:lineRule="auto"/>
      <w:jc w:val="center"/>
      <w:outlineLvl w:val="1"/>
    </w:pPr>
    <w:rPr>
      <w:rFonts w:ascii="Cambria" w:hAnsi="Cambria" w:eastAsia="宋体"/>
      <w:b/>
      <w:bCs/>
      <w:kern w:val="0"/>
      <w:sz w:val="28"/>
      <w:szCs w:val="32"/>
    </w:rPr>
  </w:style>
  <w:style w:type="paragraph" w:styleId="4">
    <w:name w:val="heading 3"/>
    <w:basedOn w:val="1"/>
    <w:next w:val="1"/>
    <w:qFormat/>
    <w:uiPriority w:val="0"/>
    <w:pPr>
      <w:keepNext/>
      <w:keepLines/>
      <w:spacing w:before="260" w:after="260" w:line="416" w:lineRule="auto"/>
      <w:outlineLvl w:val="2"/>
    </w:pPr>
    <w:rPr>
      <w:b/>
      <w:bCs/>
      <w:kern w:val="0"/>
      <w:sz w:val="32"/>
      <w:szCs w:val="32"/>
    </w:rPr>
  </w:style>
  <w:style w:type="character" w:default="1" w:styleId="18">
    <w:name w:val="Default Paragraph Font"/>
    <w:semiHidden/>
    <w:qFormat/>
    <w:uiPriority w:val="0"/>
  </w:style>
  <w:style w:type="table" w:default="1" w:styleId="21">
    <w:name w:val="Normal Table"/>
    <w:semiHidden/>
    <w:qFormat/>
    <w:uiPriority w:val="0"/>
    <w:tblPr>
      <w:tblLayout w:type="fixed"/>
      <w:tblCellMar>
        <w:top w:w="0" w:type="dxa"/>
        <w:left w:w="108" w:type="dxa"/>
        <w:bottom w:w="0" w:type="dxa"/>
        <w:right w:w="108" w:type="dxa"/>
      </w:tblCellMar>
    </w:tblPr>
  </w:style>
  <w:style w:type="paragraph" w:styleId="5">
    <w:name w:val="Body Text First Indent"/>
    <w:basedOn w:val="6"/>
    <w:qFormat/>
    <w:uiPriority w:val="0"/>
    <w:pPr>
      <w:ind w:firstLine="420" w:firstLineChars="100"/>
    </w:pPr>
    <w:rPr>
      <w:rFonts w:ascii="Times New Roman" w:hAnsi="Times New Roman" w:eastAsia="宋体" w:cs="Times New Roman"/>
    </w:rPr>
  </w:style>
  <w:style w:type="paragraph" w:styleId="6">
    <w:name w:val="Body Text"/>
    <w:basedOn w:val="1"/>
    <w:next w:val="7"/>
    <w:qFormat/>
    <w:uiPriority w:val="0"/>
    <w:pPr>
      <w:spacing w:after="120" w:afterLines="0" w:afterAutospacing="0"/>
    </w:pPr>
  </w:style>
  <w:style w:type="paragraph" w:styleId="7">
    <w:name w:val="Quote"/>
    <w:basedOn w:val="1"/>
    <w:next w:val="1"/>
    <w:qFormat/>
    <w:uiPriority w:val="0"/>
    <w:rPr>
      <w:i/>
      <w:iCs/>
      <w:color w:val="000000"/>
      <w:szCs w:val="22"/>
    </w:rPr>
  </w:style>
  <w:style w:type="paragraph" w:styleId="8">
    <w:name w:val="index 8"/>
    <w:basedOn w:val="1"/>
    <w:next w:val="1"/>
    <w:qFormat/>
    <w:uiPriority w:val="0"/>
    <w:pPr>
      <w:ind w:left="3920" w:leftChars="1400"/>
    </w:pPr>
  </w:style>
  <w:style w:type="paragraph" w:styleId="9">
    <w:name w:val="Body Text Indent"/>
    <w:basedOn w:val="1"/>
    <w:next w:val="10"/>
    <w:qFormat/>
    <w:uiPriority w:val="0"/>
    <w:pPr>
      <w:spacing w:after="120" w:afterLines="0"/>
      <w:ind w:left="420" w:leftChars="200"/>
    </w:pPr>
  </w:style>
  <w:style w:type="paragraph" w:styleId="10">
    <w:name w:val="envelope return"/>
    <w:basedOn w:val="1"/>
    <w:qFormat/>
    <w:uiPriority w:val="0"/>
    <w:pPr>
      <w:snapToGrid w:val="0"/>
    </w:pPr>
    <w:rPr>
      <w:rFonts w:ascii="Arial" w:hAnsi="Arial"/>
    </w:rPr>
  </w:style>
  <w:style w:type="paragraph" w:styleId="11">
    <w:name w:val="toc 3"/>
    <w:basedOn w:val="1"/>
    <w:next w:val="1"/>
    <w:qFormat/>
    <w:uiPriority w:val="0"/>
    <w:pPr>
      <w:ind w:left="840" w:leftChars="400"/>
    </w:pPr>
  </w:style>
  <w:style w:type="paragraph" w:styleId="12">
    <w:name w:val="Plain Text"/>
    <w:basedOn w:val="1"/>
    <w:qFormat/>
    <w:uiPriority w:val="0"/>
    <w:rPr>
      <w:rFonts w:ascii="宋体" w:hAnsi="Courier New"/>
      <w:szCs w:val="20"/>
    </w:rPr>
  </w:style>
  <w:style w:type="paragraph" w:styleId="13">
    <w:name w:val="Body Text Indent 2"/>
    <w:basedOn w:val="1"/>
    <w:qFormat/>
    <w:uiPriority w:val="0"/>
    <w:pPr>
      <w:spacing w:after="120" w:line="480" w:lineRule="auto"/>
      <w:ind w:left="420" w:leftChars="200"/>
    </w:pPr>
  </w:style>
  <w:style w:type="paragraph" w:styleId="14">
    <w:name w:val="footer"/>
    <w:basedOn w:val="1"/>
    <w:qFormat/>
    <w:uiPriority w:val="0"/>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pPr>
      <w:tabs>
        <w:tab w:val="right" w:leader="dot" w:pos="9628"/>
      </w:tabs>
      <w:spacing w:line="360" w:lineRule="auto"/>
      <w:jc w:val="center"/>
    </w:pPr>
  </w:style>
  <w:style w:type="paragraph" w:styleId="1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9">
    <w:name w:val="page number"/>
    <w:basedOn w:val="18"/>
    <w:qFormat/>
    <w:uiPriority w:val="0"/>
  </w:style>
  <w:style w:type="character" w:styleId="20">
    <w:name w:val="Hyperlink"/>
    <w:qFormat/>
    <w:uiPriority w:val="0"/>
    <w:rPr>
      <w:color w:val="0000FF"/>
      <w:u w:val="single"/>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3">
    <w:name w:val="标题 1 Char"/>
    <w:link w:val="2"/>
    <w:qFormat/>
    <w:uiPriority w:val="0"/>
    <w:rPr>
      <w:rFonts w:hint="eastAsia" w:ascii="Times New Roman" w:hAnsi="Times New Roman" w:eastAsia="宋体"/>
      <w:b/>
      <w:color w:val="000000"/>
      <w:kern w:val="44"/>
      <w:sz w:val="44"/>
      <w:lang w:val="zh-CN"/>
    </w:rPr>
  </w:style>
  <w:style w:type="paragraph" w:customStyle="1" w:styleId="24">
    <w:name w:val="正文首行缩进两字符"/>
    <w:basedOn w:val="1"/>
    <w:qFormat/>
    <w:uiPriority w:val="0"/>
    <w:pPr>
      <w:spacing w:line="360" w:lineRule="auto"/>
      <w:ind w:firstLine="200" w:firstLineChars="200"/>
    </w:pPr>
  </w:style>
  <w:style w:type="character" w:customStyle="1" w:styleId="25">
    <w:name w:val="font21"/>
    <w:basedOn w:val="18"/>
    <w:qFormat/>
    <w:uiPriority w:val="0"/>
    <w:rPr>
      <w:rFonts w:ascii="Calibri" w:hAnsi="Calibri" w:cs="Calibri"/>
      <w:color w:val="000000"/>
      <w:sz w:val="18"/>
      <w:szCs w:val="18"/>
      <w:u w:val="none"/>
    </w:rPr>
  </w:style>
  <w:style w:type="character" w:customStyle="1" w:styleId="26">
    <w:name w:val="font01"/>
    <w:basedOn w:val="18"/>
    <w:qFormat/>
    <w:uiPriority w:val="0"/>
    <w:rPr>
      <w:rFonts w:hint="eastAsia" w:ascii="宋体" w:hAnsi="宋体" w:eastAsia="宋体" w:cs="宋体"/>
      <w:color w:val="000000"/>
      <w:sz w:val="18"/>
      <w:szCs w:val="18"/>
      <w:u w:val="none"/>
    </w:rPr>
  </w:style>
  <w:style w:type="paragraph" w:styleId="27">
    <w:name w:val="List Paragraph"/>
    <w:basedOn w:val="1"/>
    <w:qFormat/>
    <w:uiPriority w:val="34"/>
    <w:pPr>
      <w:ind w:firstLine="420" w:firstLineChars="200"/>
    </w:pPr>
    <w:rPr>
      <w:rFonts w:ascii="Calibri" w:hAnsi="Calibri" w:eastAsia="宋体" w:cs="Times New Roman"/>
      <w:sz w:val="21"/>
      <w:szCs w:val="22"/>
    </w:rPr>
  </w:style>
  <w:style w:type="paragraph" w:customStyle="1" w:styleId="28">
    <w:name w:val="文章正文"/>
    <w:basedOn w:val="1"/>
    <w:qFormat/>
    <w:uiPriority w:val="0"/>
    <w:pPr>
      <w:widowControl w:val="0"/>
      <w:adjustRightInd/>
      <w:snapToGrid/>
      <w:spacing w:after="0" w:line="360" w:lineRule="auto"/>
      <w:ind w:firstLine="420"/>
      <w:jc w:val="both"/>
    </w:pPr>
    <w:rPr>
      <w:rFonts w:ascii="Calibri" w:hAnsi="Calibri"/>
      <w:kern w:val="2"/>
      <w:sz w:val="24"/>
      <w:szCs w:val="24"/>
    </w:rPr>
  </w:style>
  <w:style w:type="paragraph" w:customStyle="1" w:styleId="29">
    <w:name w:val="_Style 1"/>
    <w:basedOn w:val="1"/>
    <w:qFormat/>
    <w:uiPriority w:val="34"/>
    <w:pPr>
      <w:ind w:firstLine="420" w:firstLineChars="200"/>
    </w:pPr>
  </w:style>
  <w:style w:type="paragraph" w:customStyle="1" w:styleId="30">
    <w:name w:val="引用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customStyle="1" w:styleId="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2">
    <w:name w:val="font112"/>
    <w:basedOn w:val="18"/>
    <w:qFormat/>
    <w:uiPriority w:val="0"/>
    <w:rPr>
      <w:rFonts w:hint="eastAsia" w:ascii="宋体" w:hAnsi="宋体" w:eastAsia="宋体" w:cs="宋体"/>
      <w:color w:val="FF0000"/>
      <w:sz w:val="12"/>
      <w:szCs w:val="12"/>
      <w:u w:val="none"/>
    </w:rPr>
  </w:style>
  <w:style w:type="character" w:customStyle="1" w:styleId="33">
    <w:name w:val="font31"/>
    <w:basedOn w:val="18"/>
    <w:qFormat/>
    <w:uiPriority w:val="0"/>
    <w:rPr>
      <w:rFonts w:hint="eastAsia" w:ascii="仿宋" w:hAnsi="仿宋" w:eastAsia="仿宋" w:cs="仿宋"/>
      <w:color w:val="FF0000"/>
      <w:sz w:val="21"/>
      <w:szCs w:val="21"/>
      <w:u w:val="none"/>
    </w:rPr>
  </w:style>
  <w:style w:type="character" w:customStyle="1" w:styleId="34">
    <w:name w:val="font11"/>
    <w:basedOn w:val="18"/>
    <w:qFormat/>
    <w:uiPriority w:val="0"/>
    <w:rPr>
      <w:rFonts w:hint="eastAsia" w:ascii="仿宋" w:hAnsi="仿宋" w:eastAsia="仿宋" w:cs="仿宋"/>
      <w:color w:val="000000"/>
      <w:sz w:val="21"/>
      <w:szCs w:val="21"/>
      <w:u w:val="none"/>
    </w:rPr>
  </w:style>
  <w:style w:type="character" w:customStyle="1" w:styleId="35">
    <w:name w:val="font81"/>
    <w:basedOn w:val="18"/>
    <w:qFormat/>
    <w:uiPriority w:val="0"/>
    <w:rPr>
      <w:rFonts w:ascii="宋体" w:hAnsi="宋体" w:eastAsia="宋体" w:cs="宋体"/>
      <w:b/>
      <w:color w:val="000000"/>
      <w:sz w:val="16"/>
      <w:szCs w:val="16"/>
      <w:u w:val="none"/>
    </w:rPr>
  </w:style>
  <w:style w:type="character" w:customStyle="1" w:styleId="36">
    <w:name w:val="font91"/>
    <w:basedOn w:val="18"/>
    <w:qFormat/>
    <w:uiPriority w:val="0"/>
    <w:rPr>
      <w:rFonts w:ascii="宋体" w:hAnsi="宋体" w:eastAsia="宋体" w:cs="宋体"/>
      <w:color w:val="000000"/>
      <w:sz w:val="12"/>
      <w:szCs w:val="12"/>
      <w:u w:val="none"/>
    </w:rPr>
  </w:style>
  <w:style w:type="character" w:customStyle="1" w:styleId="37">
    <w:name w:val="font71"/>
    <w:basedOn w:val="18"/>
    <w:qFormat/>
    <w:uiPriority w:val="0"/>
    <w:rPr>
      <w:rFonts w:ascii="宋体" w:hAnsi="宋体" w:eastAsia="宋体" w:cs="宋体"/>
      <w:color w:val="000000"/>
      <w:sz w:val="8"/>
      <w:szCs w:val="8"/>
      <w:u w:val="none"/>
    </w:rPr>
  </w:style>
  <w:style w:type="character" w:customStyle="1" w:styleId="38">
    <w:name w:val="font41"/>
    <w:basedOn w:val="18"/>
    <w:qFormat/>
    <w:uiPriority w:val="0"/>
    <w:rPr>
      <w:rFonts w:hint="default" w:ascii="Times New Roman" w:hAnsi="Times New Roman" w:cs="Times New Roman"/>
      <w:color w:val="000000"/>
      <w:sz w:val="8"/>
      <w:szCs w:val="8"/>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13</Pages>
  <Words>7901</Words>
  <Characters>8895</Characters>
  <Lines>0</Lines>
  <Paragraphs>0</Paragraphs>
  <TotalTime>22</TotalTime>
  <ScaleCrop>false</ScaleCrop>
  <LinksUpToDate>false</LinksUpToDate>
  <CharactersWithSpaces>9055</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2018-10-30T02:17:00Z</dcterms:created>
  <dc:creator>于金玉</dc:creator>
  <cp:lastModifiedBy>ASUS</cp:lastModifiedBy>
  <cp:lastPrinted>2026-05-12T01:58:00Z</cp:lastPrinted>
  <dcterms:modified xsi:type="dcterms:W3CDTF">2026-08-06T06:13:47Z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80E08B3370234C05891E4A8A8E2A77BA_13</vt:lpwstr>
  </property>
  <property fmtid="{D5CDD505-2E9C-101B-9397-08002B2CF9AE}" pid="4" name="KSOTemplateDocerSaveRecord">
    <vt:lpwstr>eyJoZGlkIjoiNDRkODM4MzYyNTI4YjdlNTQxMTg4MTQ5MzczNDRmYTIiLCJ1c2VySWQiOiI3MTY2NzU0MDIifQ==</vt:lpwstr>
  </property>
</Properties>
</file>