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乐山市五通桥区</w:t>
      </w:r>
      <w:bookmarkStart w:id="0" w:name="OLE_LINK1"/>
      <w:r>
        <w:rPr>
          <w:rFonts w:hint="eastAsia" w:ascii="黑体" w:hAnsi="黑体" w:eastAsia="黑体" w:cs="黑体"/>
          <w:sz w:val="36"/>
          <w:szCs w:val="36"/>
          <w:lang w:val="en-US" w:eastAsia="zh-CN"/>
        </w:rPr>
        <w:t>紧密型</w:t>
      </w:r>
      <w:r>
        <w:rPr>
          <w:rFonts w:hint="eastAsia" w:ascii="黑体" w:hAnsi="黑体" w:eastAsia="黑体" w:cs="黑体"/>
          <w:sz w:val="36"/>
          <w:szCs w:val="36"/>
        </w:rPr>
        <w:t>城市医疗集团</w:t>
      </w:r>
    </w:p>
    <w:p>
      <w:pPr>
        <w:jc w:val="center"/>
        <w:rPr>
          <w:rFonts w:hint="eastAsia" w:ascii="黑体" w:hAnsi="黑体" w:eastAsia="黑体" w:cs="黑体"/>
          <w:sz w:val="36"/>
          <w:szCs w:val="36"/>
        </w:rPr>
      </w:pPr>
      <w:r>
        <w:rPr>
          <w:rFonts w:hint="eastAsia" w:ascii="黑体" w:hAnsi="黑体" w:eastAsia="黑体" w:cs="黑体"/>
          <w:sz w:val="36"/>
          <w:szCs w:val="36"/>
        </w:rPr>
        <w:t>冠英镇卫生院</w:t>
      </w:r>
      <w:bookmarkEnd w:id="0"/>
      <w:r>
        <w:rPr>
          <w:rFonts w:hint="eastAsia" w:ascii="黑体" w:hAnsi="黑体" w:eastAsia="黑体" w:cs="黑体"/>
          <w:sz w:val="36"/>
          <w:szCs w:val="36"/>
        </w:rPr>
        <w:t>医疗设备采购公告</w:t>
      </w:r>
    </w:p>
    <w:p>
      <w:pPr>
        <w:widowControl/>
        <w:jc w:val="left"/>
        <w:rPr>
          <w:rFonts w:hint="eastAsia" w:ascii="黑体" w:hAnsi="黑体" w:eastAsia="黑体" w:cs="黑体"/>
          <w:kern w:val="0"/>
          <w:sz w:val="28"/>
          <w:szCs w:val="28"/>
        </w:rPr>
      </w:pP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一、采购项目名称：医疗设备采购   </w:t>
      </w:r>
    </w:p>
    <w:p>
      <w:pPr>
        <w:widowControl/>
        <w:ind w:firstLine="1280" w:firstLineChars="400"/>
        <w:jc w:val="left"/>
        <w:rPr>
          <w:rFonts w:ascii="仿宋" w:hAnsi="仿宋" w:eastAsia="仿宋" w:cs="仿宋"/>
          <w:kern w:val="0"/>
          <w:sz w:val="32"/>
          <w:szCs w:val="32"/>
        </w:rPr>
      </w:pPr>
      <w:r>
        <w:rPr>
          <w:rFonts w:hint="eastAsia" w:ascii="仿宋" w:hAnsi="仿宋" w:eastAsia="仿宋" w:cs="仿宋"/>
          <w:kern w:val="0"/>
          <w:sz w:val="32"/>
          <w:szCs w:val="32"/>
        </w:rPr>
        <w:t xml:space="preserve">项目采购编号：YLJT20251101 </w:t>
      </w:r>
    </w:p>
    <w:p>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项目采购限价: 6.1万元   </w:t>
      </w:r>
    </w:p>
    <w:p>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项目技术参数及商务要求（详细要求请看附件）：</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三、供应商参加本次采购活动需要提交的资料：</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2.提交资料应按照采购文件中的承诺函、廉洁承诺书、采购资质要求、技术及商务要求提供2套。</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3.报价以及资料，采购响应文件封面请注明项目名称、联系人、联系电话、自行密封并加盖公章。</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4.请满足上述资质要求的供应商于2025年1</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 xml:space="preserve"> 月2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 xml:space="preserve"> 日17:00之前将资料送至乐山市五通桥区人民医院采购中心2（行政楼三楼），在截</w:t>
      </w:r>
      <w:r>
        <w:rPr>
          <w:rFonts w:hint="eastAsia" w:ascii="仿宋" w:hAnsi="仿宋" w:eastAsia="仿宋" w:cs="仿宋"/>
          <w:kern w:val="0"/>
          <w:sz w:val="32"/>
          <w:szCs w:val="32"/>
          <w:lang w:val="en-US" w:eastAsia="zh-CN"/>
        </w:rPr>
        <w:t>止</w:t>
      </w:r>
      <w:r>
        <w:rPr>
          <w:rFonts w:hint="eastAsia" w:ascii="仿宋" w:hAnsi="仿宋" w:eastAsia="仿宋" w:cs="仿宋"/>
          <w:kern w:val="0"/>
          <w:sz w:val="32"/>
          <w:szCs w:val="32"/>
        </w:rPr>
        <w:t>时间以后送到的响应文件将被拒绝并退还给供应商。</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四、其他要求（参加采购的供应商视为全部接受以下条款）</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1.方案报价在30日内有效，报价包括供应商履约过程中的服务费、人工、差旅、保险、税金与供应商履约所需要的其他所有费用。</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2.在供应商满足相关资质要求及服务要求的条件下，采购采用</w:t>
      </w:r>
      <w:bookmarkStart w:id="18" w:name="_GoBack"/>
      <w:r>
        <w:rPr>
          <w:rFonts w:hint="eastAsia" w:ascii="仿宋" w:hAnsi="仿宋" w:eastAsia="仿宋" w:cs="仿宋"/>
          <w:sz w:val="32"/>
          <w:szCs w:val="32"/>
        </w:rPr>
        <w:t>综合评分</w:t>
      </w:r>
      <w:bookmarkEnd w:id="18"/>
      <w:r>
        <w:rPr>
          <w:rFonts w:hint="eastAsia" w:ascii="仿宋" w:hAnsi="仿宋" w:eastAsia="仿宋" w:cs="仿宋"/>
          <w:sz w:val="32"/>
          <w:szCs w:val="32"/>
        </w:rPr>
        <w:t>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一次报价</w:t>
      </w:r>
      <w:r>
        <w:rPr>
          <w:rFonts w:hint="eastAsia" w:ascii="仿宋" w:hAnsi="仿宋" w:eastAsia="仿宋" w:cs="仿宋"/>
          <w:sz w:val="32"/>
          <w:szCs w:val="32"/>
          <w:lang w:eastAsia="zh-CN"/>
        </w:rPr>
        <w:t>）</w:t>
      </w:r>
      <w:r>
        <w:rPr>
          <w:rFonts w:hint="eastAsia" w:ascii="仿宋" w:hAnsi="仿宋" w:eastAsia="仿宋" w:cs="仿宋"/>
          <w:kern w:val="0"/>
          <w:sz w:val="32"/>
          <w:szCs w:val="32"/>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pPr>
        <w:pStyle w:val="2"/>
        <w:ind w:firstLine="320"/>
        <w:rPr>
          <w:rFonts w:hint="eastAsia" w:ascii="仿宋" w:hAnsi="仿宋" w:eastAsia="仿宋" w:cs="仿宋"/>
          <w:sz w:val="32"/>
          <w:szCs w:val="32"/>
        </w:rPr>
      </w:pPr>
      <w:r>
        <w:rPr>
          <w:rFonts w:hint="eastAsia" w:ascii="仿宋" w:hAnsi="仿宋" w:eastAsia="仿宋" w:cs="仿宋"/>
          <w:kern w:val="0"/>
          <w:sz w:val="32"/>
          <w:szCs w:val="32"/>
        </w:rPr>
        <w:t xml:space="preserve">  3.本项目不接受联合体，不允许分包。</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采购</w:t>
      </w:r>
      <w:r>
        <w:rPr>
          <w:rFonts w:hint="eastAsia" w:ascii="仿宋" w:hAnsi="仿宋" w:eastAsia="仿宋" w:cs="仿宋"/>
          <w:kern w:val="0"/>
          <w:sz w:val="32"/>
          <w:szCs w:val="32"/>
        </w:rPr>
        <w:t>联系人:李老师       联系电话:0833-3189923</w:t>
      </w:r>
    </w:p>
    <w:p>
      <w:pPr>
        <w:ind w:firstLine="640" w:firstLineChars="200"/>
        <w:rPr>
          <w:rFonts w:hint="eastAsia"/>
        </w:rPr>
      </w:pP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联系人:</w:t>
      </w:r>
      <w:r>
        <w:rPr>
          <w:rFonts w:hint="eastAsia" w:ascii="仿宋" w:hAnsi="仿宋" w:eastAsia="仿宋" w:cs="仿宋"/>
          <w:kern w:val="0"/>
          <w:sz w:val="32"/>
          <w:szCs w:val="32"/>
          <w:lang w:val="en-US" w:eastAsia="zh-CN"/>
        </w:rPr>
        <w:t>梁</w:t>
      </w:r>
      <w:r>
        <w:rPr>
          <w:rFonts w:hint="eastAsia" w:ascii="仿宋" w:hAnsi="仿宋" w:eastAsia="仿宋" w:cs="仿宋"/>
          <w:kern w:val="0"/>
          <w:sz w:val="32"/>
          <w:szCs w:val="32"/>
        </w:rPr>
        <w:t>老师       联系电话:0833-</w:t>
      </w:r>
      <w:r>
        <w:rPr>
          <w:rFonts w:hint="eastAsia" w:ascii="仿宋" w:hAnsi="仿宋" w:eastAsia="仿宋" w:cs="仿宋"/>
          <w:kern w:val="0"/>
          <w:sz w:val="32"/>
          <w:szCs w:val="32"/>
          <w:lang w:val="en-US" w:eastAsia="zh-CN"/>
        </w:rPr>
        <w:t>626700</w:t>
      </w:r>
      <w:r>
        <w:rPr>
          <w:rFonts w:hint="eastAsia" w:ascii="仿宋" w:hAnsi="仿宋" w:eastAsia="仿宋" w:cs="仿宋"/>
          <w:kern w:val="0"/>
          <w:sz w:val="32"/>
          <w:szCs w:val="32"/>
        </w:rPr>
        <w:t>3</w:t>
      </w:r>
    </w:p>
    <w:p>
      <w:pPr>
        <w:pStyle w:val="6"/>
        <w:jc w:val="center"/>
      </w:pPr>
      <w:r>
        <w:rPr>
          <w:rFonts w:hint="eastAsia" w:ascii="黑体" w:hAnsi="黑体" w:eastAsia="黑体" w:cs="黑体"/>
          <w:b/>
          <w:sz w:val="36"/>
          <w:szCs w:val="36"/>
        </w:rPr>
        <w:t>第二章  采购须知</w:t>
      </w:r>
    </w:p>
    <w:p>
      <w:pPr>
        <w:pStyle w:val="30"/>
        <w:rPr>
          <w:color w:val="auto"/>
        </w:rPr>
      </w:pP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一、院内采购总则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1.本采购项目参照《中华人民共和国政府采购法》《四川省政府采购非招标采购方式实施办法》等有关法律、法规和规章，通过综合评分法的方式确定成交供应商。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2.本项目采购范围包括价格、质量、服务等方面内容，交货时间在合同中约定。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3.本采购项目最低要求：符合资质条件、技术参数及商务要求且报价不超过最高限价。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4.供应商自行承担本项目采购活动所发生现场踏勘、标书制作等费用。</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二、采购响应文件的编制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2.采购响应文件分正（副）本装订，一正</w:t>
      </w:r>
      <w:r>
        <w:rPr>
          <w:rFonts w:hint="eastAsia" w:ascii="仿宋" w:hAnsi="仿宋" w:eastAsia="仿宋" w:cs="仿宋"/>
          <w:sz w:val="32"/>
          <w:szCs w:val="32"/>
          <w:lang w:eastAsia="zh-Hans"/>
        </w:rPr>
        <w:t>一</w:t>
      </w:r>
      <w:r>
        <w:rPr>
          <w:rFonts w:hint="eastAsia" w:ascii="仿宋" w:hAnsi="仿宋" w:eastAsia="仿宋" w:cs="仿宋"/>
          <w:sz w:val="32"/>
          <w:szCs w:val="32"/>
        </w:rPr>
        <w:t>副，须用A4幅面纸张打印装订。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3.采购响应文件的打印和书写应清楚工整，签字确认并加盖公章，否则无效。供应商为法人的，应当由其法定代表人或者代理人签字确认。</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三、院内采购会议的召开</w:t>
      </w:r>
    </w:p>
    <w:p>
      <w:pPr>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院内采购会议顺序: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1.院内采购由采购办主持；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2.由监督人员检查采购响应文件密封情况；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3.将符合密封要求的资格、技术商务、报价响应文件送评审小组评审；</w:t>
      </w:r>
    </w:p>
    <w:p>
      <w:pPr>
        <w:pStyle w:val="8"/>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4.采购结束后，由评审小组根据报价情况，推荐成交候选供应商。</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四、质疑提出与答复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rPr>
        <w:t>受理联系人及联系方式见公告</w:t>
      </w:r>
      <w:r>
        <w:rPr>
          <w:rFonts w:hint="eastAsia" w:ascii="仿宋" w:hAnsi="仿宋" w:eastAsia="仿宋" w:cs="仿宋"/>
          <w:sz w:val="32"/>
          <w:szCs w:val="32"/>
        </w:rPr>
        <w:t>采购办</w:t>
      </w:r>
      <w:r>
        <w:rPr>
          <w:rFonts w:hint="eastAsia" w:ascii="仿宋" w:hAnsi="仿宋" w:eastAsia="仿宋" w:cs="仿宋"/>
          <w:sz w:val="32"/>
          <w:szCs w:val="32"/>
          <w:lang w:val="zh-CN"/>
        </w:rPr>
        <w:t>联系人。</w:t>
      </w:r>
    </w:p>
    <w:p>
      <w:pPr>
        <w:rPr>
          <w:rFonts w:hint="eastAsia" w:ascii="黑体" w:hAnsi="黑体" w:eastAsia="黑体" w:cs="黑体"/>
          <w:b/>
          <w:bCs/>
          <w:sz w:val="44"/>
          <w:szCs w:val="44"/>
        </w:rPr>
      </w:pPr>
      <w:r>
        <w:rPr>
          <w:rFonts w:hint="eastAsia" w:ascii="黑体" w:hAnsi="黑体" w:eastAsia="黑体" w:cs="黑体"/>
          <w:b/>
          <w:bCs/>
          <w:sz w:val="44"/>
          <w:szCs w:val="44"/>
        </w:rPr>
        <w:br w:type="page"/>
      </w:r>
    </w:p>
    <w:p>
      <w:pPr>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第三章  采购程序和成交标准</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采购办将根据采购邀请中规定的递交文件截止时间前接受供应商响应文件，并按以下程序组织采购：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一、组织采购评审对供应商递交的响应文件进行资格审查和符合性审查。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二、通过资格审查和符合性审查供应商数量不足三家的，本次采购活动终止。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出现但不限于下列情况之一的，其响应文件将被视为无效文件不予通过资格审查和符合性审查：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1.资格不符合要求的；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2.响应文件未实质性响应采购文件要求的；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3.响应文件无法定代表人签字，或签字人未被法定代表人授权的；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4.所报总价超出项目预算且无法支付的；</w:t>
      </w:r>
    </w:p>
    <w:p>
      <w:pPr>
        <w:ind w:firstLine="640" w:firstLineChars="200"/>
        <w:rPr>
          <w:rFonts w:hint="eastAsia" w:ascii="仿宋" w:hAnsi="仿宋" w:eastAsia="仿宋" w:cs="仿宋"/>
          <w:kern w:val="0"/>
          <w:sz w:val="32"/>
          <w:szCs w:val="32"/>
        </w:rPr>
      </w:pPr>
      <w:r>
        <w:rPr>
          <w:rFonts w:hint="eastAsia" w:ascii="仿宋" w:hAnsi="仿宋" w:eastAsia="仿宋" w:cs="仿宋"/>
          <w:sz w:val="32"/>
          <w:szCs w:val="32"/>
        </w:rPr>
        <w:t>5.不同</w:t>
      </w:r>
      <w:r>
        <w:rPr>
          <w:rFonts w:hint="eastAsia" w:ascii="仿宋" w:hAnsi="仿宋" w:eastAsia="仿宋" w:cs="仿宋"/>
          <w:kern w:val="0"/>
          <w:sz w:val="32"/>
          <w:szCs w:val="32"/>
        </w:rPr>
        <w:t>供应商负责人为同一人或者存在直接控股、管理关系的；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6.负偏离。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评分最高的原则推荐成交候选供应商，由采购人授权评审小组确认成交供应商，采购办于2个工作日内在乐山市五通桥区人民医院网上公告成交结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四、成交标准：按采购最终报价为依据（未组织二次报价的，以报价响应文件中的报价为依据），体现满足采购项目要求,且综合评分法最高原则确定成交供应商。</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pPr>
        <w:ind w:firstLine="640" w:firstLineChars="200"/>
        <w:jc w:val="left"/>
        <w:rPr>
          <w:rFonts w:eastAsia="仿宋"/>
        </w:rPr>
      </w:pPr>
      <w:r>
        <w:rPr>
          <w:rFonts w:hint="eastAsia" w:ascii="仿宋" w:hAnsi="仿宋" w:eastAsia="仿宋" w:cs="仿宋"/>
          <w:sz w:val="32"/>
          <w:szCs w:val="32"/>
        </w:rPr>
        <w:t>采用综合评分法的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五、院内采购评审小组的组建。评审小组依法由三人及以上单数组成。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六、低于成本价不正当竞争预防措施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2.供应商书面说明应当签字确认或者加盖公章，否则无效。书面说明的签字确认，由其法定代表人/主要负责人/本人或者其授权代表签字确认。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七、采购工作纪律和注意事项。在采购活动中，供应商、评审成员、组织采购工作的有关工作人员应严格遵守相关纪律规定，注意以下事项：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1.不得泄露采购活动在应当保密的情况和资料，不得与供应商串通损害国家利益、社会公共利益或者他人合法权益。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2.供应商不得相互串通报价；不得向评审成员行贿谋取成交；不得以他人名义或者其他方式弄虚作假骗取成交；不得以任何方式干扰、影响采购活动。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pPr>
        <w:ind w:firstLine="640" w:firstLineChars="200"/>
        <w:rPr>
          <w:rFonts w:hint="eastAsia" w:ascii="宋体" w:hAnsi="宋体"/>
          <w:sz w:val="24"/>
        </w:rPr>
      </w:pPr>
      <w:r>
        <w:rPr>
          <w:rFonts w:hint="eastAsia" w:ascii="仿宋" w:hAnsi="仿宋" w:eastAsia="仿宋" w:cs="仿宋"/>
          <w:sz w:val="32"/>
          <w:szCs w:val="32"/>
        </w:rPr>
        <w:t>4.组织采购的工作人员不得收受他人的财物或者其他好处，不得向他人透露采购活动中各有关细节及推荐评审情况。在采购活动中不得擅离职守，影响采购活动的正常进行。</w:t>
      </w:r>
    </w:p>
    <w:p>
      <w:pPr>
        <w:pStyle w:val="8"/>
        <w:ind w:left="0" w:leftChars="0"/>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（采购封面）</w:t>
      </w:r>
    </w:p>
    <w:p>
      <w:pPr>
        <w:jc w:val="center"/>
        <w:rPr>
          <w:rFonts w:hint="eastAsia" w:ascii="黑体" w:hAnsi="黑体" w:eastAsia="黑体" w:cs="黑体"/>
          <w:b/>
          <w:sz w:val="48"/>
          <w:szCs w:val="48"/>
        </w:rPr>
      </w:pPr>
      <w:r>
        <w:rPr>
          <w:rFonts w:hint="eastAsia" w:ascii="黑体" w:hAnsi="黑体" w:eastAsia="黑体" w:cs="黑体"/>
          <w:b/>
          <w:sz w:val="48"/>
          <w:szCs w:val="48"/>
        </w:rPr>
        <w:t>乐山市五通桥区城市医疗集团</w:t>
      </w:r>
    </w:p>
    <w:p>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冠英镇卫生院采购项目</w:t>
      </w:r>
    </w:p>
    <w:p>
      <w:pPr>
        <w:spacing w:line="400" w:lineRule="exact"/>
        <w:ind w:firstLine="4897" w:firstLineChars="583"/>
        <w:rPr>
          <w:rFonts w:hint="eastAsia" w:ascii="黑体" w:hAnsi="黑体" w:eastAsia="黑体" w:cs="黑体"/>
          <w:sz w:val="84"/>
          <w:szCs w:val="84"/>
        </w:rPr>
      </w:pPr>
    </w:p>
    <w:p>
      <w:pPr>
        <w:pStyle w:val="6"/>
        <w:jc w:val="center"/>
        <w:rPr>
          <w:rFonts w:hint="eastAsia" w:ascii="黑体" w:hAnsi="黑体" w:eastAsia="黑体" w:cs="黑体"/>
          <w:sz w:val="44"/>
          <w:szCs w:val="44"/>
        </w:rPr>
      </w:pPr>
      <w:r>
        <w:rPr>
          <w:rFonts w:hint="eastAsia" w:ascii="黑体" w:hAnsi="黑体" w:eastAsia="黑体" w:cs="黑体"/>
          <w:sz w:val="44"/>
          <w:szCs w:val="44"/>
        </w:rPr>
        <w:t>院内采购文件</w:t>
      </w:r>
    </w:p>
    <w:p>
      <w:pPr>
        <w:rPr>
          <w:rFonts w:hint="eastAsia" w:ascii="黑体" w:hAnsi="黑体" w:eastAsia="黑体" w:cs="黑体"/>
          <w:sz w:val="84"/>
          <w:szCs w:val="84"/>
        </w:rPr>
      </w:pPr>
    </w:p>
    <w:p>
      <w:pPr>
        <w:pStyle w:val="6"/>
        <w:rPr>
          <w:rFonts w:hint="eastAsia" w:ascii="黑体" w:hAnsi="黑体" w:eastAsia="黑体" w:cs="黑体"/>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项目编号：</w:t>
      </w:r>
      <w:r>
        <w:rPr>
          <w:rFonts w:hint="eastAsia" w:ascii="黑体" w:hAnsi="黑体" w:eastAsia="黑体" w:cs="黑体"/>
          <w:b/>
          <w:sz w:val="32"/>
          <w:szCs w:val="32"/>
          <w:u w:val="single"/>
        </w:rPr>
        <w:t xml:space="preserve">                            </w:t>
      </w:r>
    </w:p>
    <w:p>
      <w:pPr>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rPr>
        <w:t>供应商名称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联系人及电话：________________________</w:t>
      </w:r>
    </w:p>
    <w:p>
      <w:pPr>
        <w:spacing w:line="360" w:lineRule="auto"/>
        <w:ind w:firstLine="315" w:firstLineChars="98"/>
        <w:rPr>
          <w:rFonts w:hint="eastAsia" w:ascii="黑体" w:hAnsi="黑体" w:eastAsia="黑体" w:cs="黑体"/>
          <w:b/>
          <w:bCs/>
          <w:sz w:val="32"/>
          <w:szCs w:val="32"/>
        </w:rPr>
      </w:pPr>
    </w:p>
    <w:p>
      <w:pPr>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1" w:name="_Toc18458"/>
      <w:bookmarkStart w:id="2" w:name="_Toc9490"/>
      <w:bookmarkStart w:id="3" w:name="_Toc25737"/>
      <w:bookmarkStart w:id="4" w:name="_Toc5773"/>
      <w:r>
        <w:rPr>
          <w:rFonts w:hint="eastAsia" w:ascii="黑体" w:hAnsi="黑体" w:eastAsia="黑体" w:cs="黑体"/>
          <w:b/>
          <w:bCs/>
          <w:sz w:val="32"/>
          <w:szCs w:val="32"/>
        </w:rPr>
        <w:br w:type="page"/>
      </w:r>
    </w:p>
    <w:bookmarkEnd w:id="1"/>
    <w:bookmarkEnd w:id="2"/>
    <w:bookmarkEnd w:id="3"/>
    <w:bookmarkEnd w:id="4"/>
    <w:p>
      <w:pPr>
        <w:jc w:val="center"/>
        <w:rPr>
          <w:rFonts w:hint="eastAsia" w:ascii="黑体" w:hAnsi="黑体" w:eastAsia="黑体" w:cs="黑体"/>
          <w:spacing w:val="2"/>
          <w:sz w:val="40"/>
          <w:szCs w:val="40"/>
        </w:rPr>
      </w:pPr>
      <w:bookmarkStart w:id="5" w:name="_Toc12449"/>
      <w:bookmarkStart w:id="6" w:name="_Toc17549"/>
      <w:bookmarkStart w:id="7" w:name="_Toc4003"/>
      <w:bookmarkStart w:id="8" w:name="_Toc439699516"/>
      <w:r>
        <w:rPr>
          <w:rFonts w:hint="eastAsia" w:ascii="黑体" w:hAnsi="黑体" w:eastAsia="黑体" w:cs="黑体"/>
          <w:spacing w:val="2"/>
          <w:sz w:val="40"/>
          <w:szCs w:val="40"/>
        </w:rPr>
        <w:t>承诺函</w:t>
      </w:r>
    </w:p>
    <w:p>
      <w:pPr>
        <w:pStyle w:val="6"/>
        <w:rPr>
          <w:rFonts w:hint="eastAsia" w:ascii="黑体" w:hAnsi="黑体" w:eastAsia="黑体" w:cs="黑体"/>
          <w:sz w:val="28"/>
          <w:szCs w:val="28"/>
        </w:rPr>
      </w:pPr>
    </w:p>
    <w:p>
      <w:pPr>
        <w:rPr>
          <w:rFonts w:hint="eastAsia" w:ascii="仿宋" w:hAnsi="仿宋" w:eastAsia="仿宋" w:cs="仿宋"/>
          <w:spacing w:val="2"/>
          <w:sz w:val="32"/>
          <w:szCs w:val="32"/>
        </w:rPr>
      </w:pPr>
      <w:r>
        <w:rPr>
          <w:rFonts w:hint="eastAsia" w:ascii="仿宋" w:hAnsi="仿宋" w:eastAsia="仿宋" w:cs="仿宋"/>
          <w:spacing w:val="2"/>
          <w:sz w:val="32"/>
          <w:szCs w:val="32"/>
        </w:rPr>
        <w:t>乐山市五通桥区城市医疗集团冠英镇卫生院：</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我方作为本次采购项目的供应商，根据供应商采购文件要求，现郑重承诺如下：</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一、具备本项目规定的条件</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1.具有独立承担民事责任的能力；</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2.具有良好的商业信誉和健全的财务会计制度；</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3.具有履行合同所必须的设备和专业技术能力；</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4.具有依法缴纳税收和社会保障资金的良好记录；</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5.参加本次供应商采购活动前三年内，在经营活动中没有重大违法记录；</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6.法律、行政法规规定的其他条件；</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四、我方完全尊重并认可本项目供应商采购文件中规定并赋予本项目采购人“自主采取公平、择优的方式选择”的权利，对本项目采购人选择的结果完全认同并无异议。</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五、参加本次供应商采购活动，不存在与单位负责人为同一人或者存在直接控股、管理关系的其他供应商参与同一合同项下的供应商采购活动的行为。</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六、参加本次供应商采购活动，不存在和其他供应商在同一合同项下的供应商采购项目中，同时委托同一个自然人、同一家庭的人员、同一单位的人员作为代理人的行为。</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七、供应商响应文件中提供的技术、服务、商务等响应承诺情况都是真实的、有效的、合法的。</w:t>
      </w:r>
    </w:p>
    <w:p>
      <w:pPr>
        <w:pStyle w:val="6"/>
        <w:rPr>
          <w:rFonts w:hint="eastAsia" w:ascii="仿宋" w:hAnsi="仿宋" w:eastAsia="仿宋" w:cs="仿宋"/>
          <w:sz w:val="32"/>
          <w:szCs w:val="32"/>
        </w:rPr>
      </w:pPr>
      <w:r>
        <w:rPr>
          <w:rFonts w:hint="eastAsia" w:ascii="仿宋" w:hAnsi="仿宋" w:eastAsia="仿宋" w:cs="仿宋"/>
          <w:spacing w:val="2"/>
          <w:sz w:val="32"/>
          <w:szCs w:val="32"/>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
      <w:pPr>
        <w:snapToGrid w:val="0"/>
        <w:spacing w:line="360" w:lineRule="auto"/>
        <w:ind w:firstLine="2916" w:firstLineChars="900"/>
        <w:contextualSpacing/>
        <w:jc w:val="right"/>
        <w:rPr>
          <w:rFonts w:hint="eastAsia" w:ascii="仿宋" w:hAnsi="仿宋" w:eastAsia="仿宋" w:cs="仿宋"/>
          <w:spacing w:val="2"/>
          <w:sz w:val="32"/>
          <w:szCs w:val="32"/>
        </w:rPr>
      </w:pPr>
      <w:r>
        <w:rPr>
          <w:rFonts w:hint="eastAsia" w:ascii="仿宋" w:hAnsi="仿宋" w:eastAsia="仿宋" w:cs="仿宋"/>
          <w:spacing w:val="2"/>
          <w:sz w:val="32"/>
          <w:szCs w:val="32"/>
        </w:rPr>
        <w:t>供应商名称（单位公章）：XXXX</w:t>
      </w:r>
    </w:p>
    <w:p>
      <w:pPr>
        <w:snapToGrid w:val="0"/>
        <w:spacing w:line="360" w:lineRule="auto"/>
        <w:contextualSpacing/>
        <w:jc w:val="right"/>
        <w:rPr>
          <w:rFonts w:hint="eastAsia" w:ascii="仿宋" w:hAnsi="仿宋" w:eastAsia="仿宋" w:cs="仿宋"/>
          <w:spacing w:val="2"/>
          <w:sz w:val="32"/>
          <w:szCs w:val="32"/>
        </w:rPr>
      </w:pPr>
      <w:r>
        <w:rPr>
          <w:rFonts w:hint="eastAsia" w:ascii="仿宋" w:hAnsi="仿宋" w:eastAsia="仿宋" w:cs="仿宋"/>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spacing w:val="2"/>
          <w:sz w:val="28"/>
          <w:szCs w:val="28"/>
        </w:rPr>
      </w:pPr>
      <w:r>
        <w:rPr>
          <w:rFonts w:hint="eastAsia" w:ascii="仿宋" w:hAnsi="仿宋" w:eastAsia="仿宋" w:cs="仿宋"/>
          <w:spacing w:val="2"/>
          <w:sz w:val="32"/>
          <w:szCs w:val="32"/>
        </w:rPr>
        <w:t>日期：</w:t>
      </w:r>
      <w:r>
        <w:rPr>
          <w:rFonts w:hint="eastAsia" w:ascii="仿宋" w:hAnsi="仿宋" w:eastAsia="仿宋" w:cs="仿宋"/>
          <w:sz w:val="32"/>
          <w:szCs w:val="32"/>
        </w:rPr>
        <w:t>2025年  月  日</w:t>
      </w:r>
    </w:p>
    <w:p>
      <w:pPr>
        <w:pStyle w:val="6"/>
        <w:adjustRightInd w:val="0"/>
        <w:snapToGrid w:val="0"/>
        <w:spacing w:after="0" w:line="360" w:lineRule="auto"/>
        <w:ind w:firstLine="560" w:firstLineChars="200"/>
        <w:rPr>
          <w:rFonts w:hint="eastAsia" w:ascii="黑体" w:hAnsi="黑体" w:eastAsia="黑体" w:cs="黑体"/>
          <w:sz w:val="28"/>
          <w:szCs w:val="28"/>
        </w:rPr>
      </w:pPr>
    </w:p>
    <w:p>
      <w:pPr>
        <w:pStyle w:val="6"/>
        <w:adjustRightInd w:val="0"/>
        <w:snapToGrid w:val="0"/>
        <w:spacing w:after="0" w:line="360" w:lineRule="auto"/>
        <w:ind w:firstLine="560" w:firstLineChars="200"/>
        <w:rPr>
          <w:rFonts w:hint="eastAsia" w:ascii="黑体" w:hAnsi="黑体" w:eastAsia="黑体" w:cs="黑体"/>
          <w:sz w:val="28"/>
          <w:szCs w:val="28"/>
        </w:rPr>
      </w:pPr>
    </w:p>
    <w:bookmarkEnd w:id="5"/>
    <w:bookmarkEnd w:id="6"/>
    <w:bookmarkEnd w:id="7"/>
    <w:bookmarkEnd w:id="8"/>
    <w:p>
      <w:pPr>
        <w:spacing w:before="240" w:beforeLines="100" w:after="480" w:afterLines="200" w:line="320" w:lineRule="exact"/>
        <w:jc w:val="center"/>
        <w:rPr>
          <w:rFonts w:hint="eastAsia" w:ascii="黑体" w:hAnsi="黑体" w:eastAsia="黑体" w:cs="黑体"/>
          <w:sz w:val="40"/>
          <w:szCs w:val="40"/>
        </w:rPr>
      </w:pPr>
      <w:bookmarkStart w:id="9" w:name="_Toc16184"/>
      <w:bookmarkStart w:id="10" w:name="_Toc1800"/>
      <w:bookmarkStart w:id="11" w:name="_Toc199"/>
      <w:bookmarkStart w:id="12" w:name="_Toc439699522"/>
      <w:bookmarkStart w:id="13" w:name="_Toc12426"/>
      <w:bookmarkStart w:id="14" w:name="_Toc1287"/>
      <w:bookmarkStart w:id="15" w:name="_Toc24199"/>
      <w:r>
        <w:rPr>
          <w:rFonts w:hint="eastAsia" w:ascii="黑体" w:hAnsi="黑体" w:eastAsia="黑体" w:cs="黑体"/>
        </w:rPr>
        <w:br w:type="page"/>
      </w:r>
      <w:bookmarkEnd w:id="9"/>
      <w:bookmarkEnd w:id="10"/>
      <w:bookmarkEnd w:id="11"/>
      <w:bookmarkEnd w:id="12"/>
      <w:bookmarkEnd w:id="13"/>
      <w:bookmarkEnd w:id="14"/>
      <w:bookmarkEnd w:id="15"/>
      <w:r>
        <w:rPr>
          <w:rFonts w:hint="eastAsia" w:ascii="黑体" w:hAnsi="黑体" w:eastAsia="黑体" w:cs="黑体"/>
          <w:sz w:val="40"/>
          <w:szCs w:val="40"/>
        </w:rPr>
        <w:t>购销廉洁、诚信承诺书</w:t>
      </w:r>
    </w:p>
    <w:p>
      <w:pPr>
        <w:rPr>
          <w:rFonts w:hint="eastAsia" w:ascii="仿宋" w:hAnsi="仿宋" w:eastAsia="仿宋" w:cs="仿宋"/>
          <w:spacing w:val="2"/>
          <w:sz w:val="32"/>
          <w:szCs w:val="32"/>
        </w:rPr>
      </w:pPr>
      <w:bookmarkStart w:id="16" w:name="_Toc5468"/>
      <w:r>
        <w:rPr>
          <w:rFonts w:hint="eastAsia" w:ascii="仿宋" w:hAnsi="仿宋" w:eastAsia="仿宋" w:cs="仿宋"/>
          <w:spacing w:val="2"/>
          <w:sz w:val="32"/>
          <w:szCs w:val="32"/>
        </w:rPr>
        <w:t>乐山市五通桥区城市医疗集团冠英镇卫生院</w:t>
      </w:r>
      <w:r>
        <w:rPr>
          <w:rFonts w:hint="eastAsia" w:ascii="仿宋" w:hAnsi="仿宋" w:eastAsia="仿宋" w:cs="仿宋"/>
          <w:sz w:val="32"/>
          <w:szCs w:val="32"/>
        </w:rPr>
        <w:t>：</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一、本公司严格按照《民法典》及购销合同约定购销相关产品。</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五、本公司如违反本承诺，愿意接受医院相关处罚规定。</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供应商或厂家名称：        （盖章）</w:t>
      </w:r>
    </w:p>
    <w:p>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法定代表人或授权代表（签字）：</w:t>
      </w:r>
    </w:p>
    <w:p>
      <w:pPr>
        <w:pStyle w:val="27"/>
        <w:spacing w:line="240" w:lineRule="auto"/>
        <w:ind w:firstLine="0"/>
        <w:rPr>
          <w:rFonts w:hint="eastAsia" w:ascii="仿宋" w:hAnsi="仿宋" w:eastAsia="仿宋" w:cs="仿宋"/>
          <w:sz w:val="32"/>
          <w:szCs w:val="32"/>
        </w:rPr>
      </w:pPr>
    </w:p>
    <w:p>
      <w:pPr>
        <w:pStyle w:val="27"/>
        <w:spacing w:line="240" w:lineRule="auto"/>
        <w:ind w:firstLine="0"/>
        <w:rPr>
          <w:rFonts w:hint="eastAsia" w:ascii="仿宋" w:hAnsi="仿宋" w:eastAsia="仿宋" w:cs="仿宋"/>
          <w:sz w:val="32"/>
          <w:szCs w:val="32"/>
        </w:rPr>
      </w:pPr>
    </w:p>
    <w:p>
      <w:pPr>
        <w:autoSpaceDN w:val="0"/>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日期：2025年  月  日</w:t>
      </w:r>
      <w:bookmarkEnd w:id="16"/>
    </w:p>
    <w:p>
      <w:pPr>
        <w:rPr>
          <w:rFonts w:hint="eastAsia" w:ascii="仿宋" w:hAnsi="仿宋" w:eastAsia="仿宋" w:cs="仿宋"/>
          <w:sz w:val="32"/>
          <w:szCs w:val="32"/>
        </w:rPr>
      </w:pPr>
      <w:r>
        <w:rPr>
          <w:rFonts w:hint="eastAsia" w:ascii="仿宋" w:hAnsi="仿宋" w:eastAsia="仿宋" w:cs="仿宋"/>
          <w:sz w:val="32"/>
          <w:szCs w:val="32"/>
        </w:rPr>
        <w:br w:type="page"/>
      </w:r>
    </w:p>
    <w:p>
      <w:pPr>
        <w:numPr>
          <w:ilvl w:val="0"/>
          <w:numId w:val="1"/>
        </w:numPr>
        <w:jc w:val="center"/>
        <w:rPr>
          <w:rFonts w:hint="eastAsia" w:ascii="黑体" w:hAnsi="黑体" w:eastAsia="黑体" w:cs="黑体"/>
          <w:b/>
          <w:sz w:val="36"/>
          <w:szCs w:val="36"/>
        </w:rPr>
      </w:pPr>
      <w:r>
        <w:rPr>
          <w:rFonts w:hint="eastAsia" w:ascii="黑体" w:hAnsi="黑体" w:eastAsia="黑体" w:cs="黑体"/>
          <w:b/>
          <w:sz w:val="36"/>
          <w:szCs w:val="36"/>
        </w:rPr>
        <w:t>采购资质要求</w:t>
      </w:r>
    </w:p>
    <w:p>
      <w:pPr>
        <w:pStyle w:val="6"/>
        <w:rPr>
          <w:rFonts w:hint="eastAsia" w:ascii="黑体" w:hAnsi="黑体" w:eastAsia="黑体" w:cs="黑体"/>
          <w:b/>
          <w:sz w:val="36"/>
          <w:szCs w:val="36"/>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资格性文件：供应商应当提供的资格要求的相关证明材料（缺少一项投标无效处理）</w:t>
      </w:r>
    </w:p>
    <w:tbl>
      <w:tblPr>
        <w:tblStyle w:val="20"/>
        <w:tblpPr w:leftFromText="180" w:rightFromText="180" w:vertAnchor="text" w:horzAnchor="page" w:tblpXSpec="center" w:tblpY="371"/>
        <w:tblOverlap w:val="never"/>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810"/>
        <w:gridCol w:w="911"/>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0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序号</w:t>
            </w:r>
          </w:p>
        </w:tc>
        <w:tc>
          <w:tcPr>
            <w:tcW w:w="5810"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审查项目</w:t>
            </w:r>
          </w:p>
        </w:tc>
        <w:tc>
          <w:tcPr>
            <w:tcW w:w="911"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合格条件</w:t>
            </w:r>
          </w:p>
        </w:tc>
        <w:tc>
          <w:tcPr>
            <w:tcW w:w="149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70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1</w:t>
            </w:r>
          </w:p>
        </w:tc>
        <w:tc>
          <w:tcPr>
            <w:tcW w:w="5810"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 xml:space="preserve">三证（营业执照、税务登记证、组织机构代码证）副本；三证合一的须提供营业执照副本；事业单位、社会团体提供法人登记证书复印件 </w:t>
            </w:r>
          </w:p>
        </w:tc>
        <w:tc>
          <w:tcPr>
            <w:tcW w:w="911"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1493" w:type="dxa"/>
            <w:vAlign w:val="center"/>
          </w:tcPr>
          <w:p>
            <w:pPr>
              <w:snapToGrid w:val="0"/>
              <w:contextualSpacing/>
              <w:jc w:val="center"/>
              <w:rPr>
                <w:rFonts w:hint="eastAsia" w:ascii="仿宋" w:hAnsi="仿宋" w:eastAsia="仿宋" w:cs="仿宋"/>
                <w:spacing w:val="2"/>
                <w:sz w:val="32"/>
                <w:szCs w:val="32"/>
              </w:rPr>
            </w:pPr>
            <w:bookmarkStart w:id="17" w:name="OLE_LINK2"/>
            <w:r>
              <w:rPr>
                <w:rFonts w:hint="eastAsia" w:ascii="仿宋" w:hAnsi="仿宋" w:eastAsia="仿宋" w:cs="仿宋"/>
                <w:spacing w:val="2"/>
                <w:sz w:val="32"/>
                <w:szCs w:val="32"/>
              </w:rPr>
              <w:t>复印件加盖公章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70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2</w:t>
            </w:r>
          </w:p>
        </w:tc>
        <w:tc>
          <w:tcPr>
            <w:tcW w:w="5810"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提供承诺，购销廉洁、诚信承诺书</w:t>
            </w:r>
          </w:p>
        </w:tc>
        <w:tc>
          <w:tcPr>
            <w:tcW w:w="911"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1493" w:type="dxa"/>
            <w:vAlign w:val="center"/>
          </w:tcPr>
          <w:p>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70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3</w:t>
            </w:r>
          </w:p>
        </w:tc>
        <w:tc>
          <w:tcPr>
            <w:tcW w:w="5810" w:type="dxa"/>
            <w:shd w:val="clear" w:color="auto" w:fill="auto"/>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法定代表人授权委托书（法定代表人参与的须提供法定代表人证明书），法定代表人和授权代表的身份证</w:t>
            </w:r>
          </w:p>
        </w:tc>
        <w:tc>
          <w:tcPr>
            <w:tcW w:w="911" w:type="dxa"/>
            <w:shd w:val="clear" w:color="auto" w:fill="auto"/>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1493" w:type="dxa"/>
            <w:shd w:val="clear" w:color="auto" w:fill="auto"/>
            <w:vAlign w:val="center"/>
          </w:tcPr>
          <w:p>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jc w:val="center"/>
        </w:trPr>
        <w:tc>
          <w:tcPr>
            <w:tcW w:w="70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4</w:t>
            </w:r>
          </w:p>
        </w:tc>
        <w:tc>
          <w:tcPr>
            <w:tcW w:w="5810" w:type="dxa"/>
            <w:shd w:val="clear" w:color="auto" w:fill="auto"/>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供应商通过“信用中国”(</w:t>
            </w:r>
            <w:r>
              <w:fldChar w:fldCharType="begin"/>
            </w:r>
            <w:r>
              <w:instrText xml:space="preserve"> HYPERLINK "http://www.creditchina.gov.cn)" </w:instrText>
            </w:r>
            <w:r>
              <w:fldChar w:fldCharType="separate"/>
            </w:r>
            <w:r>
              <w:rPr>
                <w:rFonts w:hint="eastAsia" w:ascii="仿宋" w:hAnsi="仿宋" w:eastAsia="仿宋" w:cs="仿宋"/>
                <w:spacing w:val="2"/>
                <w:sz w:val="32"/>
                <w:szCs w:val="32"/>
              </w:rPr>
              <w:t>www.creditchina.gov.cn)</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、“中国政府采购网”(www.ccgp.gov.cn)网站查询公告发布之日起前三年的信用记录，无不良记录</w:t>
            </w:r>
          </w:p>
        </w:tc>
        <w:tc>
          <w:tcPr>
            <w:tcW w:w="911" w:type="dxa"/>
            <w:shd w:val="clear" w:color="auto" w:fill="auto"/>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1493" w:type="dxa"/>
            <w:shd w:val="clear" w:color="auto" w:fill="auto"/>
            <w:vAlign w:val="center"/>
          </w:tcPr>
          <w:p>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0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5</w:t>
            </w:r>
          </w:p>
        </w:tc>
        <w:tc>
          <w:tcPr>
            <w:tcW w:w="5810"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 xml:space="preserve"> 涉及产品及其配置产品为医疗器械的，投标人须符合《医疗器械监督管理条例》要求，并针对其自身生产的产品需提供医疗器械生产许可证或生产备案凭证，针对非自身生产的产品需提供医疗器械经营企业许可证或经营备案凭证（已提供包含二类备案的多证合一营业执照的供应商除外）。</w:t>
            </w:r>
          </w:p>
        </w:tc>
        <w:tc>
          <w:tcPr>
            <w:tcW w:w="911"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1493" w:type="dxa"/>
            <w:vAlign w:val="center"/>
          </w:tcPr>
          <w:p>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703"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6</w:t>
            </w:r>
          </w:p>
        </w:tc>
        <w:tc>
          <w:tcPr>
            <w:tcW w:w="5810"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涉及产品及其配置产品为医疗器械的，产品及其配置产品须符合《医疗器械注册与备案管理办法》要求并提供中华人民共和国医疗器械注册证或备案凭证；</w:t>
            </w:r>
          </w:p>
        </w:tc>
        <w:tc>
          <w:tcPr>
            <w:tcW w:w="911" w:type="dxa"/>
            <w:vAlign w:val="center"/>
          </w:tcPr>
          <w:p>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1493" w:type="dxa"/>
            <w:vAlign w:val="center"/>
          </w:tcPr>
          <w:p>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703" w:type="dxa"/>
            <w:vAlign w:val="center"/>
          </w:tcPr>
          <w:p>
            <w:pPr>
              <w:snapToGrid w:val="0"/>
              <w:contextualSpacing/>
              <w:rPr>
                <w:rFonts w:hint="eastAsia" w:ascii="仿宋" w:hAnsi="仿宋" w:eastAsia="仿宋" w:cs="仿宋"/>
                <w:spacing w:val="2"/>
                <w:sz w:val="32"/>
                <w:szCs w:val="32"/>
              </w:rPr>
            </w:pPr>
          </w:p>
        </w:tc>
        <w:tc>
          <w:tcPr>
            <w:tcW w:w="5810" w:type="dxa"/>
            <w:vAlign w:val="center"/>
          </w:tcPr>
          <w:p>
            <w:pPr>
              <w:snapToGrid w:val="0"/>
              <w:contextualSpacing/>
              <w:rPr>
                <w:rFonts w:hint="eastAsia" w:ascii="仿宋" w:hAnsi="仿宋" w:eastAsia="仿宋" w:cs="仿宋"/>
                <w:spacing w:val="2"/>
                <w:sz w:val="32"/>
                <w:szCs w:val="32"/>
              </w:rPr>
            </w:pPr>
          </w:p>
        </w:tc>
        <w:tc>
          <w:tcPr>
            <w:tcW w:w="911" w:type="dxa"/>
            <w:vAlign w:val="center"/>
          </w:tcPr>
          <w:p>
            <w:pPr>
              <w:snapToGrid w:val="0"/>
              <w:contextualSpacing/>
              <w:rPr>
                <w:rFonts w:hint="eastAsia" w:ascii="仿宋" w:hAnsi="仿宋" w:eastAsia="仿宋" w:cs="仿宋"/>
                <w:spacing w:val="2"/>
                <w:sz w:val="32"/>
                <w:szCs w:val="32"/>
              </w:rPr>
            </w:pPr>
          </w:p>
        </w:tc>
        <w:tc>
          <w:tcPr>
            <w:tcW w:w="1493" w:type="dxa"/>
            <w:vAlign w:val="center"/>
          </w:tcPr>
          <w:p>
            <w:pPr>
              <w:snapToGrid w:val="0"/>
              <w:contextualSpacing/>
              <w:rPr>
                <w:rFonts w:hint="eastAsia" w:ascii="仿宋" w:hAnsi="仿宋" w:eastAsia="仿宋" w:cs="仿宋"/>
                <w:spacing w:val="2"/>
                <w:sz w:val="32"/>
                <w:szCs w:val="32"/>
              </w:rPr>
            </w:pPr>
          </w:p>
        </w:tc>
      </w:tr>
    </w:tbl>
    <w:p>
      <w:pPr>
        <w:rPr>
          <w:rFonts w:hint="eastAsia" w:ascii="仿宋" w:hAnsi="仿宋" w:eastAsia="仿宋" w:cs="仿宋"/>
          <w:sz w:val="32"/>
          <w:szCs w:val="32"/>
        </w:rPr>
      </w:pPr>
    </w:p>
    <w:p>
      <w:pPr>
        <w:jc w:val="center"/>
        <w:rPr>
          <w:rFonts w:hint="eastAsia" w:ascii="黑体" w:hAnsi="黑体" w:eastAsia="黑体" w:cs="黑体"/>
          <w:sz w:val="36"/>
          <w:szCs w:val="44"/>
        </w:rPr>
      </w:pPr>
      <w:r>
        <w:rPr>
          <w:rFonts w:hint="eastAsia" w:ascii="黑体" w:hAnsi="黑体" w:eastAsia="黑体" w:cs="黑体"/>
          <w:b/>
          <w:sz w:val="36"/>
          <w:szCs w:val="36"/>
        </w:rPr>
        <w:t>第五章  采购项目技术、服务及其他商务要求</w:t>
      </w:r>
    </w:p>
    <w:p>
      <w:pPr>
        <w:pStyle w:val="6"/>
        <w:rPr>
          <w:rFonts w:hint="eastAsia" w:ascii="黑体" w:hAnsi="黑体" w:eastAsia="黑体" w:cs="黑体"/>
        </w:rPr>
      </w:pPr>
    </w:p>
    <w:p>
      <w:pPr>
        <w:pStyle w:val="2"/>
        <w:ind w:firstLine="640" w:firstLineChars="200"/>
        <w:rPr>
          <w:rFonts w:hint="eastAsia" w:ascii="仿宋" w:hAnsi="仿宋" w:eastAsia="仿宋" w:cs="仿宋"/>
          <w:sz w:val="36"/>
          <w:szCs w:val="36"/>
        </w:rPr>
      </w:pPr>
      <w:r>
        <w:rPr>
          <w:rFonts w:hint="eastAsia" w:ascii="仿宋" w:hAnsi="仿宋" w:eastAsia="仿宋" w:cs="仿宋"/>
          <w:sz w:val="32"/>
          <w:szCs w:val="32"/>
        </w:rPr>
        <w:t>技术参数要求：</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微型彩色超声诊断系统</w:t>
      </w:r>
      <w:r>
        <w:rPr>
          <w:rFonts w:hint="eastAsia" w:ascii="仿宋" w:hAnsi="仿宋" w:eastAsia="仿宋" w:cs="仿宋"/>
          <w:kern w:val="0"/>
          <w:sz w:val="32"/>
          <w:szCs w:val="32"/>
          <w:lang w:val="zh-CN"/>
        </w:rPr>
        <w:t>（仪）</w:t>
      </w:r>
      <w:r>
        <w:rPr>
          <w:rFonts w:hint="eastAsia" w:ascii="仿宋" w:hAnsi="仿宋" w:eastAsia="仿宋" w:cs="仿宋"/>
          <w:sz w:val="32"/>
          <w:szCs w:val="32"/>
          <w:lang w:val="zh-CN"/>
        </w:rPr>
        <w:t>：</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zh-CN"/>
        </w:rPr>
        <w:t>、结构形式：为便携手持式，探头接口：USB/Type-C连接</w:t>
      </w:r>
      <w:r>
        <w:rPr>
          <w:rFonts w:hint="eastAsia" w:ascii="仿宋" w:hAnsi="仿宋" w:eastAsia="仿宋" w:cs="仿宋"/>
          <w:sz w:val="32"/>
          <w:szCs w:val="32"/>
        </w:rPr>
        <w:t>；</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、扫描方式为电子凸阵，128阵元，</w:t>
      </w:r>
      <w:r>
        <w:rPr>
          <w:rFonts w:hint="eastAsia" w:ascii="仿宋" w:hAnsi="仿宋" w:eastAsia="仿宋" w:cs="仿宋"/>
          <w:sz w:val="32"/>
          <w:szCs w:val="32"/>
        </w:rPr>
        <w:t>≥</w:t>
      </w:r>
      <w:r>
        <w:rPr>
          <w:rFonts w:hint="eastAsia" w:ascii="仿宋" w:hAnsi="仿宋" w:eastAsia="仿宋" w:cs="仿宋"/>
          <w:sz w:val="32"/>
          <w:szCs w:val="32"/>
          <w:lang w:val="zh-CN"/>
        </w:rPr>
        <w:t>32物理通道，提升整体图像质量；</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▲3、超声软件平台：支持Android、Windows操作系统，自带超声工作站，支持远程会诊模块功能扩容；</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4</w:t>
      </w:r>
      <w:r>
        <w:rPr>
          <w:rFonts w:hint="eastAsia" w:ascii="仿宋" w:hAnsi="仿宋" w:eastAsia="仿宋" w:cs="仿宋"/>
          <w:sz w:val="32"/>
          <w:szCs w:val="32"/>
          <w:lang w:val="zh-CN"/>
        </w:rPr>
        <w:t>、</w:t>
      </w:r>
      <w:r>
        <w:rPr>
          <w:rFonts w:hint="eastAsia" w:ascii="仿宋" w:hAnsi="仿宋" w:eastAsia="仿宋" w:cs="仿宋"/>
          <w:sz w:val="32"/>
          <w:szCs w:val="32"/>
        </w:rPr>
        <w:t>主机中心频率：3.5MHz（2.5MHz-5.0MHz）；</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zh-CN"/>
        </w:rPr>
        <w:t>显示模式：</w:t>
      </w:r>
      <w:r>
        <w:rPr>
          <w:rFonts w:hint="eastAsia" w:ascii="仿宋" w:hAnsi="仿宋" w:eastAsia="仿宋" w:cs="仿宋"/>
          <w:sz w:val="32"/>
          <w:szCs w:val="32"/>
        </w:rPr>
        <w:t>Android端</w:t>
      </w:r>
      <w:r>
        <w:rPr>
          <w:rFonts w:hint="eastAsia" w:ascii="仿宋" w:hAnsi="仿宋" w:eastAsia="仿宋" w:cs="仿宋"/>
          <w:sz w:val="32"/>
          <w:szCs w:val="32"/>
          <w:lang w:val="zh-CN"/>
        </w:rPr>
        <w:t>具有B</w:t>
      </w:r>
      <w:r>
        <w:rPr>
          <w:rFonts w:hint="eastAsia" w:ascii="仿宋" w:hAnsi="仿宋" w:eastAsia="仿宋" w:cs="仿宋"/>
          <w:sz w:val="32"/>
          <w:szCs w:val="32"/>
        </w:rPr>
        <w:t>/</w:t>
      </w:r>
      <w:r>
        <w:rPr>
          <w:rFonts w:hint="eastAsia" w:ascii="仿宋" w:hAnsi="仿宋" w:eastAsia="仿宋" w:cs="仿宋"/>
          <w:sz w:val="32"/>
          <w:szCs w:val="32"/>
          <w:lang w:val="zh-CN"/>
        </w:rPr>
        <w:t>BB</w:t>
      </w:r>
      <w:r>
        <w:rPr>
          <w:rFonts w:hint="eastAsia" w:ascii="仿宋" w:hAnsi="仿宋" w:eastAsia="仿宋" w:cs="仿宋"/>
          <w:sz w:val="32"/>
          <w:szCs w:val="32"/>
        </w:rPr>
        <w:t>/</w:t>
      </w:r>
      <w:r>
        <w:rPr>
          <w:rFonts w:hint="eastAsia" w:ascii="仿宋" w:hAnsi="仿宋" w:eastAsia="仿宋" w:cs="仿宋"/>
          <w:sz w:val="32"/>
          <w:szCs w:val="32"/>
          <w:lang w:val="zh-CN"/>
        </w:rPr>
        <w:t>BM</w:t>
      </w:r>
      <w:r>
        <w:rPr>
          <w:rFonts w:hint="eastAsia" w:ascii="仿宋" w:hAnsi="仿宋" w:eastAsia="仿宋" w:cs="仿宋"/>
          <w:sz w:val="32"/>
          <w:szCs w:val="32"/>
        </w:rPr>
        <w:t>/</w:t>
      </w:r>
      <w:r>
        <w:rPr>
          <w:rFonts w:hint="eastAsia" w:ascii="仿宋" w:hAnsi="仿宋" w:eastAsia="仿宋" w:cs="仿宋"/>
          <w:sz w:val="32"/>
          <w:szCs w:val="32"/>
          <w:lang w:val="zh-CN"/>
        </w:rPr>
        <w:t>CDFI</w:t>
      </w:r>
      <w:r>
        <w:rPr>
          <w:rFonts w:hint="eastAsia" w:ascii="仿宋" w:hAnsi="仿宋" w:eastAsia="仿宋" w:cs="仿宋"/>
          <w:sz w:val="32"/>
          <w:szCs w:val="32"/>
        </w:rPr>
        <w:t>/</w:t>
      </w:r>
      <w:r>
        <w:rPr>
          <w:rFonts w:hint="eastAsia" w:ascii="仿宋" w:hAnsi="仿宋" w:eastAsia="仿宋" w:cs="仿宋"/>
          <w:sz w:val="32"/>
          <w:szCs w:val="32"/>
          <w:lang w:val="zh-CN"/>
        </w:rPr>
        <w:t>PDI</w:t>
      </w:r>
      <w:r>
        <w:rPr>
          <w:rFonts w:hint="eastAsia" w:ascii="仿宋" w:hAnsi="仿宋" w:eastAsia="仿宋" w:cs="仿宋"/>
          <w:sz w:val="32"/>
          <w:szCs w:val="32"/>
        </w:rPr>
        <w:t>/</w:t>
      </w:r>
      <w:r>
        <w:rPr>
          <w:rFonts w:hint="eastAsia" w:ascii="仿宋" w:hAnsi="仿宋" w:eastAsia="仿宋" w:cs="仿宋"/>
          <w:sz w:val="32"/>
          <w:szCs w:val="32"/>
          <w:lang w:val="zh-CN"/>
        </w:rPr>
        <w:t>PW</w:t>
      </w:r>
      <w:r>
        <w:rPr>
          <w:rFonts w:hint="eastAsia" w:ascii="仿宋" w:hAnsi="仿宋" w:eastAsia="仿宋" w:cs="仿宋"/>
          <w:sz w:val="32"/>
          <w:szCs w:val="32"/>
        </w:rPr>
        <w:t>≥6</w:t>
      </w:r>
      <w:r>
        <w:rPr>
          <w:rFonts w:hint="eastAsia" w:ascii="仿宋" w:hAnsi="仿宋" w:eastAsia="仿宋" w:cs="仿宋"/>
          <w:sz w:val="32"/>
          <w:szCs w:val="32"/>
          <w:lang w:val="zh-CN"/>
        </w:rPr>
        <w:t>种；</w:t>
      </w:r>
      <w:r>
        <w:rPr>
          <w:rFonts w:hint="eastAsia" w:ascii="仿宋" w:hAnsi="仿宋" w:eastAsia="仿宋" w:cs="仿宋"/>
          <w:sz w:val="32"/>
          <w:szCs w:val="32"/>
        </w:rPr>
        <w:t>Windows端</w:t>
      </w:r>
      <w:r>
        <w:rPr>
          <w:rFonts w:hint="eastAsia" w:ascii="仿宋" w:hAnsi="仿宋" w:eastAsia="仿宋" w:cs="仿宋"/>
          <w:sz w:val="32"/>
          <w:szCs w:val="32"/>
          <w:lang w:val="zh-CN"/>
        </w:rPr>
        <w:t>B</w:t>
      </w:r>
      <w:r>
        <w:rPr>
          <w:rFonts w:hint="eastAsia" w:ascii="仿宋" w:hAnsi="仿宋" w:eastAsia="仿宋" w:cs="仿宋"/>
          <w:sz w:val="32"/>
          <w:szCs w:val="32"/>
        </w:rPr>
        <w:t>/</w:t>
      </w:r>
      <w:r>
        <w:rPr>
          <w:rFonts w:hint="eastAsia" w:ascii="仿宋" w:hAnsi="仿宋" w:eastAsia="仿宋" w:cs="仿宋"/>
          <w:sz w:val="32"/>
          <w:szCs w:val="32"/>
          <w:lang w:val="zh-CN"/>
        </w:rPr>
        <w:t>BB</w:t>
      </w:r>
      <w:r>
        <w:rPr>
          <w:rFonts w:hint="eastAsia" w:ascii="仿宋" w:hAnsi="仿宋" w:eastAsia="仿宋" w:cs="仿宋"/>
          <w:sz w:val="32"/>
          <w:szCs w:val="32"/>
        </w:rPr>
        <w:t>/4B/</w:t>
      </w:r>
      <w:r>
        <w:rPr>
          <w:rFonts w:hint="eastAsia" w:ascii="仿宋" w:hAnsi="仿宋" w:eastAsia="仿宋" w:cs="仿宋"/>
          <w:sz w:val="32"/>
          <w:szCs w:val="32"/>
          <w:lang w:val="zh-CN"/>
        </w:rPr>
        <w:t>BM</w:t>
      </w:r>
      <w:r>
        <w:rPr>
          <w:rFonts w:hint="eastAsia" w:ascii="仿宋" w:hAnsi="仿宋" w:eastAsia="仿宋" w:cs="仿宋"/>
          <w:sz w:val="32"/>
          <w:szCs w:val="32"/>
        </w:rPr>
        <w:t>/M/</w:t>
      </w:r>
      <w:r>
        <w:rPr>
          <w:rFonts w:hint="eastAsia" w:ascii="仿宋" w:hAnsi="仿宋" w:eastAsia="仿宋" w:cs="仿宋"/>
          <w:sz w:val="32"/>
          <w:szCs w:val="32"/>
          <w:lang w:val="zh-CN"/>
        </w:rPr>
        <w:t>CDFI</w:t>
      </w:r>
      <w:r>
        <w:rPr>
          <w:rFonts w:hint="eastAsia" w:ascii="仿宋" w:hAnsi="仿宋" w:eastAsia="仿宋" w:cs="仿宋"/>
          <w:sz w:val="32"/>
          <w:szCs w:val="32"/>
        </w:rPr>
        <w:t>/</w:t>
      </w:r>
      <w:r>
        <w:rPr>
          <w:rFonts w:hint="eastAsia" w:ascii="仿宋" w:hAnsi="仿宋" w:eastAsia="仿宋" w:cs="仿宋"/>
          <w:sz w:val="32"/>
          <w:szCs w:val="32"/>
          <w:lang w:val="zh-CN"/>
        </w:rPr>
        <w:t>PDI</w:t>
      </w:r>
      <w:r>
        <w:rPr>
          <w:rFonts w:hint="eastAsia" w:ascii="仿宋" w:hAnsi="仿宋" w:eastAsia="仿宋" w:cs="仿宋"/>
          <w:sz w:val="32"/>
          <w:szCs w:val="32"/>
        </w:rPr>
        <w:t>/</w:t>
      </w:r>
      <w:r>
        <w:rPr>
          <w:rFonts w:hint="eastAsia" w:ascii="仿宋" w:hAnsi="仿宋" w:eastAsia="仿宋" w:cs="仿宋"/>
          <w:sz w:val="32"/>
          <w:szCs w:val="32"/>
          <w:lang w:val="zh-CN"/>
        </w:rPr>
        <w:t>PW</w:t>
      </w:r>
      <w:r>
        <w:rPr>
          <w:rFonts w:hint="eastAsia" w:ascii="仿宋" w:hAnsi="仿宋" w:eastAsia="仿宋" w:cs="仿宋"/>
          <w:sz w:val="32"/>
          <w:szCs w:val="32"/>
        </w:rPr>
        <w:t>/PICC≥9</w:t>
      </w:r>
      <w:r>
        <w:rPr>
          <w:rFonts w:hint="eastAsia" w:ascii="仿宋" w:hAnsi="仿宋" w:eastAsia="仿宋" w:cs="仿宋"/>
          <w:sz w:val="32"/>
          <w:szCs w:val="32"/>
          <w:lang w:val="zh-CN"/>
        </w:rPr>
        <w:t>种；</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▲6</w:t>
      </w:r>
      <w:r>
        <w:rPr>
          <w:rFonts w:hint="eastAsia" w:ascii="仿宋" w:hAnsi="仿宋" w:eastAsia="仿宋" w:cs="仿宋"/>
          <w:sz w:val="32"/>
          <w:szCs w:val="32"/>
          <w:lang w:val="zh-CN"/>
        </w:rPr>
        <w:t>、</w:t>
      </w:r>
      <w:r>
        <w:rPr>
          <w:rFonts w:hint="eastAsia" w:ascii="仿宋" w:hAnsi="仿宋" w:eastAsia="仿宋" w:cs="仿宋"/>
          <w:sz w:val="32"/>
          <w:szCs w:val="32"/>
        </w:rPr>
        <w:t>预设通用、高分辨、高穿透、谐波成像单元和预设临床腹部、泌尿、妇科、产科、肺部、穿刺等常用部位选项，预置最佳化图像的检查条件, 一键可切换检查条件，并支持自定义参数预设置；</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zh-CN"/>
        </w:rPr>
        <w:t>、增益</w:t>
      </w:r>
      <w:r>
        <w:rPr>
          <w:rFonts w:hint="eastAsia" w:ascii="仿宋" w:hAnsi="仿宋" w:eastAsia="仿宋" w:cs="仿宋"/>
          <w:sz w:val="32"/>
          <w:szCs w:val="32"/>
        </w:rPr>
        <w:t>补偿≥</w:t>
      </w:r>
      <w:r>
        <w:rPr>
          <w:rFonts w:hint="eastAsia" w:ascii="仿宋" w:hAnsi="仿宋" w:eastAsia="仿宋" w:cs="仿宋"/>
          <w:sz w:val="32"/>
          <w:szCs w:val="32"/>
          <w:lang w:val="zh-CN"/>
        </w:rPr>
        <w:t>8段TGC可调；动态范围</w:t>
      </w:r>
      <w:r>
        <w:rPr>
          <w:rFonts w:hint="eastAsia" w:ascii="仿宋" w:hAnsi="仿宋" w:eastAsia="仿宋" w:cs="仿宋"/>
          <w:sz w:val="32"/>
          <w:szCs w:val="32"/>
        </w:rPr>
        <w:t>：</w:t>
      </w:r>
      <w:r>
        <w:rPr>
          <w:rFonts w:hint="eastAsia" w:ascii="仿宋" w:hAnsi="仿宋" w:eastAsia="仿宋" w:cs="仿宋"/>
          <w:sz w:val="32"/>
          <w:szCs w:val="32"/>
          <w:lang w:val="zh-CN"/>
        </w:rPr>
        <w:t>0～</w:t>
      </w:r>
      <w:r>
        <w:rPr>
          <w:rFonts w:hint="eastAsia" w:ascii="仿宋" w:hAnsi="仿宋" w:eastAsia="仿宋" w:cs="仿宋"/>
          <w:sz w:val="32"/>
          <w:szCs w:val="32"/>
        </w:rPr>
        <w:t>100</w:t>
      </w:r>
      <w:r>
        <w:rPr>
          <w:rFonts w:hint="eastAsia" w:ascii="仿宋" w:hAnsi="仿宋" w:eastAsia="仿宋" w:cs="仿宋"/>
          <w:sz w:val="32"/>
          <w:szCs w:val="32"/>
          <w:lang w:val="zh-CN"/>
        </w:rPr>
        <w:t>d</w:t>
      </w:r>
      <w:r>
        <w:rPr>
          <w:rFonts w:hint="eastAsia" w:ascii="仿宋" w:hAnsi="仿宋" w:eastAsia="仿宋" w:cs="仿宋"/>
          <w:sz w:val="32"/>
          <w:szCs w:val="32"/>
        </w:rPr>
        <w:t>B</w:t>
      </w:r>
      <w:r>
        <w:rPr>
          <w:rFonts w:hint="eastAsia" w:ascii="仿宋" w:hAnsi="仿宋" w:eastAsia="仿宋" w:cs="仿宋"/>
          <w:sz w:val="32"/>
          <w:szCs w:val="32"/>
          <w:lang w:val="zh-CN"/>
        </w:rPr>
        <w:t>可视可调；灰阶变换</w:t>
      </w:r>
      <w:r>
        <w:rPr>
          <w:rFonts w:hint="eastAsia" w:ascii="仿宋" w:hAnsi="仿宋" w:eastAsia="仿宋" w:cs="仿宋"/>
          <w:sz w:val="32"/>
          <w:szCs w:val="32"/>
        </w:rPr>
        <w:t>≥</w:t>
      </w:r>
      <w:r>
        <w:rPr>
          <w:rFonts w:hint="eastAsia" w:ascii="仿宋" w:hAnsi="仿宋" w:eastAsia="仿宋" w:cs="仿宋"/>
          <w:sz w:val="32"/>
          <w:szCs w:val="32"/>
          <w:lang w:val="zh-CN"/>
        </w:rPr>
        <w:t>256级；显示速度：</w:t>
      </w:r>
      <w:r>
        <w:rPr>
          <w:rFonts w:hint="eastAsia" w:ascii="仿宋" w:hAnsi="仿宋" w:eastAsia="仿宋" w:cs="仿宋"/>
          <w:sz w:val="32"/>
          <w:szCs w:val="32"/>
        </w:rPr>
        <w:t>≥</w:t>
      </w:r>
      <w:r>
        <w:rPr>
          <w:rFonts w:hint="eastAsia" w:ascii="仿宋" w:hAnsi="仿宋" w:eastAsia="仿宋" w:cs="仿宋"/>
          <w:sz w:val="32"/>
          <w:szCs w:val="32"/>
          <w:lang w:val="zh-CN"/>
        </w:rPr>
        <w:t>3档可调；彩色多普勒取样框角度≥±</w:t>
      </w:r>
      <w:r>
        <w:rPr>
          <w:rFonts w:hint="eastAsia" w:ascii="仿宋" w:hAnsi="仿宋" w:eastAsia="仿宋" w:cs="仿宋"/>
          <w:sz w:val="32"/>
          <w:szCs w:val="32"/>
        </w:rPr>
        <w:t>10</w:t>
      </w:r>
      <w:r>
        <w:rPr>
          <w:rFonts w:hint="eastAsia" w:ascii="仿宋" w:hAnsi="仿宋" w:eastAsia="仿宋" w:cs="仿宋"/>
          <w:sz w:val="32"/>
          <w:szCs w:val="32"/>
          <w:lang w:val="zh-CN"/>
        </w:rPr>
        <w:t>度可调；</w:t>
      </w:r>
      <w:r>
        <w:rPr>
          <w:rFonts w:hint="eastAsia" w:ascii="仿宋" w:hAnsi="仿宋" w:eastAsia="仿宋" w:cs="仿宋"/>
          <w:sz w:val="32"/>
          <w:szCs w:val="32"/>
        </w:rPr>
        <w:t>支持血流频谱及自动包络功能；</w:t>
      </w:r>
      <w:r>
        <w:rPr>
          <w:rFonts w:hint="eastAsia" w:ascii="仿宋" w:hAnsi="仿宋" w:eastAsia="仿宋" w:cs="仿宋"/>
          <w:sz w:val="32"/>
          <w:szCs w:val="32"/>
          <w:lang w:val="zh-CN"/>
        </w:rPr>
        <w:t>血流速度误差≤±</w:t>
      </w:r>
      <w:r>
        <w:rPr>
          <w:rFonts w:hint="eastAsia" w:ascii="仿宋" w:hAnsi="仿宋" w:eastAsia="仿宋" w:cs="仿宋"/>
          <w:sz w:val="32"/>
          <w:szCs w:val="32"/>
        </w:rPr>
        <w:t>10</w:t>
      </w:r>
      <w:r>
        <w:rPr>
          <w:rFonts w:hint="eastAsia" w:ascii="仿宋" w:hAnsi="仿宋" w:eastAsia="仿宋" w:cs="仿宋"/>
          <w:sz w:val="32"/>
          <w:szCs w:val="32"/>
          <w:lang w:val="zh-CN"/>
        </w:rPr>
        <w:t>%；</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▲8</w:t>
      </w:r>
      <w:r>
        <w:rPr>
          <w:rFonts w:hint="eastAsia" w:ascii="仿宋" w:hAnsi="仿宋" w:eastAsia="仿宋" w:cs="仿宋"/>
          <w:sz w:val="32"/>
          <w:szCs w:val="32"/>
          <w:lang w:val="zh-CN"/>
        </w:rPr>
        <w:t>、图像前处理：可变孔径，动态变迹、动态数字滤波等；图像后处理：8种ｒ校正、行相关、幀相关、点线相关、线性内插、数字时空滤波、数字勾边增强、42种伪彩处理等；</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val="zh-CN"/>
        </w:rPr>
        <w:t>测量功能：</w:t>
      </w:r>
      <w:r>
        <w:rPr>
          <w:rFonts w:hint="eastAsia" w:ascii="仿宋" w:hAnsi="仿宋" w:eastAsia="仿宋" w:cs="仿宋"/>
          <w:sz w:val="32"/>
          <w:szCs w:val="32"/>
        </w:rPr>
        <w:t>支持距离、椭圆面积、描记面积、角度、深度、注释等常规测量，具备管径狭窄率、椭圆面积狭窄率、描记面积狭窄率、体积、比率、腹围、双颈顶、头臀径、股骨长、胸直径、胸膜线测量、B线测量、孕囊、枕额颈、肱骨长、胫骨、尺骨、头围、腹部横径、羊水指数等专业计算</w:t>
      </w:r>
      <w:r>
        <w:rPr>
          <w:rFonts w:hint="eastAsia" w:ascii="仿宋" w:hAnsi="仿宋" w:eastAsia="仿宋" w:cs="仿宋"/>
          <w:sz w:val="32"/>
          <w:szCs w:val="32"/>
          <w:lang w:val="zh-CN"/>
        </w:rPr>
        <w:t>专科分析软件包</w:t>
      </w:r>
      <w:r>
        <w:rPr>
          <w:rFonts w:hint="eastAsia" w:ascii="仿宋" w:hAnsi="仿宋" w:eastAsia="仿宋" w:cs="仿宋"/>
          <w:sz w:val="32"/>
          <w:szCs w:val="32"/>
        </w:rPr>
        <w:t>；自动冻结进入待机状态，并且可以瞬间解冻启动进入系统；</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▲10</w:t>
      </w:r>
      <w:r>
        <w:rPr>
          <w:rFonts w:hint="eastAsia" w:ascii="仿宋" w:hAnsi="仿宋" w:eastAsia="仿宋" w:cs="仿宋"/>
          <w:sz w:val="32"/>
          <w:szCs w:val="32"/>
          <w:lang w:val="zh-CN"/>
        </w:rPr>
        <w:t>、具有专业注释模板：可直接在图像上添加中文注释，中文注释≥</w:t>
      </w:r>
      <w:r>
        <w:rPr>
          <w:rFonts w:hint="eastAsia" w:ascii="仿宋" w:hAnsi="仿宋" w:eastAsia="仿宋" w:cs="仿宋"/>
          <w:sz w:val="32"/>
          <w:szCs w:val="32"/>
        </w:rPr>
        <w:t>460</w:t>
      </w:r>
      <w:r>
        <w:rPr>
          <w:rFonts w:hint="eastAsia" w:ascii="仿宋" w:hAnsi="仿宋" w:eastAsia="仿宋" w:cs="仿宋"/>
          <w:sz w:val="32"/>
          <w:szCs w:val="32"/>
          <w:lang w:val="zh-CN"/>
        </w:rPr>
        <w:t>组；具有专业体标模板，体位标记≥1</w:t>
      </w:r>
      <w:r>
        <w:rPr>
          <w:rFonts w:hint="eastAsia" w:ascii="仿宋" w:hAnsi="仿宋" w:eastAsia="仿宋" w:cs="仿宋"/>
          <w:sz w:val="32"/>
          <w:szCs w:val="32"/>
        </w:rPr>
        <w:t>40</w:t>
      </w:r>
      <w:r>
        <w:rPr>
          <w:rFonts w:hint="eastAsia" w:ascii="仿宋" w:hAnsi="仿宋" w:eastAsia="仿宋" w:cs="仿宋"/>
          <w:sz w:val="32"/>
          <w:szCs w:val="32"/>
          <w:lang w:val="zh-CN"/>
        </w:rPr>
        <w:t>个；</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11、</w:t>
      </w:r>
      <w:r>
        <w:rPr>
          <w:rFonts w:hint="eastAsia" w:ascii="仿宋" w:hAnsi="仿宋" w:eastAsia="仿宋" w:cs="仿宋"/>
          <w:sz w:val="32"/>
          <w:szCs w:val="32"/>
          <w:lang w:val="zh-CN"/>
        </w:rPr>
        <w:t>具有中</w:t>
      </w:r>
      <w:r>
        <w:rPr>
          <w:rFonts w:hint="eastAsia" w:ascii="仿宋" w:hAnsi="仿宋" w:eastAsia="仿宋" w:cs="仿宋"/>
          <w:sz w:val="32"/>
          <w:szCs w:val="32"/>
        </w:rPr>
        <w:t>/</w:t>
      </w:r>
      <w:r>
        <w:rPr>
          <w:rFonts w:hint="eastAsia" w:ascii="仿宋" w:hAnsi="仿宋" w:eastAsia="仿宋" w:cs="仿宋"/>
          <w:sz w:val="32"/>
          <w:szCs w:val="32"/>
          <w:lang w:val="zh-CN"/>
        </w:rPr>
        <w:t>英文自定义输入模式；</w:t>
      </w:r>
      <w:r>
        <w:rPr>
          <w:rFonts w:hint="eastAsia" w:ascii="仿宋" w:hAnsi="仿宋" w:eastAsia="仿宋" w:cs="仿宋"/>
          <w:sz w:val="32"/>
          <w:szCs w:val="32"/>
        </w:rPr>
        <w:t>病例管理收录专业病例报告模板，可进行超声报告快速</w:t>
      </w:r>
      <w:r>
        <w:rPr>
          <w:rFonts w:hint="eastAsia" w:ascii="仿宋" w:hAnsi="仿宋" w:eastAsia="仿宋" w:cs="仿宋"/>
          <w:sz w:val="32"/>
          <w:szCs w:val="32"/>
          <w:lang w:val="zh-CN"/>
        </w:rPr>
        <w:t>编辑、打印、发送、保存PDF。支持HIS、PACS系统单元</w:t>
      </w:r>
      <w:r>
        <w:rPr>
          <w:rFonts w:hint="eastAsia" w:ascii="仿宋" w:hAnsi="仿宋" w:eastAsia="仿宋" w:cs="仿宋"/>
          <w:sz w:val="32"/>
          <w:szCs w:val="32"/>
        </w:rPr>
        <w:t>对接</w:t>
      </w:r>
      <w:r>
        <w:rPr>
          <w:rFonts w:hint="eastAsia" w:ascii="仿宋" w:hAnsi="仿宋" w:eastAsia="仿宋" w:cs="仿宋"/>
          <w:sz w:val="32"/>
          <w:szCs w:val="32"/>
          <w:lang w:val="zh-CN"/>
        </w:rPr>
        <w:t>；</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val="zh-CN"/>
        </w:rPr>
        <w:t>支持BMP</w:t>
      </w:r>
      <w:r>
        <w:rPr>
          <w:rFonts w:hint="eastAsia" w:ascii="仿宋" w:hAnsi="仿宋" w:eastAsia="仿宋" w:cs="仿宋"/>
          <w:sz w:val="32"/>
          <w:szCs w:val="32"/>
          <w:lang w:eastAsia="en-US"/>
        </w:rPr>
        <w:t>、</w:t>
      </w:r>
      <w:r>
        <w:rPr>
          <w:rFonts w:hint="eastAsia" w:ascii="仿宋" w:hAnsi="仿宋" w:eastAsia="仿宋" w:cs="仿宋"/>
          <w:sz w:val="32"/>
          <w:szCs w:val="32"/>
          <w:lang w:val="zh-CN"/>
        </w:rPr>
        <w:t>JPG</w:t>
      </w:r>
      <w:r>
        <w:rPr>
          <w:rFonts w:hint="eastAsia" w:ascii="仿宋" w:hAnsi="仿宋" w:eastAsia="仿宋" w:cs="仿宋"/>
          <w:sz w:val="32"/>
          <w:szCs w:val="32"/>
          <w:lang w:eastAsia="en-US"/>
        </w:rPr>
        <w:t>、</w:t>
      </w:r>
      <w:r>
        <w:rPr>
          <w:rFonts w:hint="eastAsia" w:ascii="仿宋" w:hAnsi="仿宋" w:eastAsia="仿宋" w:cs="仿宋"/>
          <w:sz w:val="32"/>
          <w:szCs w:val="32"/>
          <w:lang w:val="zh-CN"/>
        </w:rPr>
        <w:t>PNG</w:t>
      </w:r>
      <w:r>
        <w:rPr>
          <w:rFonts w:hint="eastAsia" w:ascii="仿宋" w:hAnsi="仿宋" w:eastAsia="仿宋" w:cs="仿宋"/>
          <w:sz w:val="32"/>
          <w:szCs w:val="32"/>
          <w:lang w:eastAsia="en-US"/>
        </w:rPr>
        <w:t>、</w:t>
      </w:r>
      <w:r>
        <w:rPr>
          <w:rFonts w:hint="eastAsia" w:ascii="仿宋" w:hAnsi="仿宋" w:eastAsia="仿宋" w:cs="仿宋"/>
          <w:sz w:val="32"/>
          <w:szCs w:val="32"/>
          <w:lang w:val="zh-CN"/>
        </w:rPr>
        <w:t>TIF</w:t>
      </w:r>
      <w:r>
        <w:rPr>
          <w:rFonts w:hint="eastAsia" w:ascii="仿宋" w:hAnsi="仿宋" w:eastAsia="仿宋" w:cs="仿宋"/>
          <w:sz w:val="32"/>
          <w:szCs w:val="32"/>
          <w:lang w:eastAsia="en-US"/>
        </w:rPr>
        <w:t>、</w:t>
      </w:r>
      <w:r>
        <w:rPr>
          <w:rFonts w:hint="eastAsia" w:ascii="仿宋" w:hAnsi="仿宋" w:eastAsia="仿宋" w:cs="仿宋"/>
          <w:sz w:val="32"/>
          <w:szCs w:val="32"/>
          <w:lang w:val="zh-CN"/>
        </w:rPr>
        <w:t>DCM图像格式及实时电影存储；可实现图像的冻结、</w:t>
      </w:r>
      <w:r>
        <w:rPr>
          <w:rFonts w:hint="eastAsia" w:ascii="仿宋" w:hAnsi="仿宋" w:eastAsia="仿宋" w:cs="仿宋"/>
          <w:sz w:val="32"/>
          <w:szCs w:val="32"/>
        </w:rPr>
        <w:t>实时回看</w:t>
      </w:r>
      <w:r>
        <w:rPr>
          <w:rFonts w:hint="eastAsia" w:ascii="仿宋" w:hAnsi="仿宋" w:eastAsia="仿宋" w:cs="仿宋"/>
          <w:sz w:val="32"/>
          <w:szCs w:val="32"/>
          <w:lang w:val="zh-CN"/>
        </w:rPr>
        <w:t>，电影回放：</w:t>
      </w:r>
      <w:r>
        <w:rPr>
          <w:rFonts w:hint="eastAsia" w:ascii="仿宋" w:hAnsi="仿宋" w:eastAsia="仿宋" w:cs="仿宋"/>
          <w:sz w:val="32"/>
          <w:szCs w:val="32"/>
        </w:rPr>
        <w:t>Android端64/128/256/512</w:t>
      </w:r>
      <w:r>
        <w:rPr>
          <w:rFonts w:hint="eastAsia" w:ascii="仿宋" w:hAnsi="仿宋" w:eastAsia="仿宋" w:cs="仿宋"/>
          <w:sz w:val="32"/>
          <w:szCs w:val="32"/>
          <w:lang w:val="zh-CN"/>
        </w:rPr>
        <w:t>帧</w:t>
      </w:r>
      <w:r>
        <w:rPr>
          <w:rFonts w:hint="eastAsia" w:ascii="仿宋" w:hAnsi="仿宋" w:eastAsia="仿宋" w:cs="仿宋"/>
          <w:sz w:val="32"/>
          <w:szCs w:val="32"/>
        </w:rPr>
        <w:t>任选，Windows端64/128/256/512/1024/2048</w:t>
      </w:r>
      <w:r>
        <w:rPr>
          <w:rFonts w:hint="eastAsia" w:ascii="仿宋" w:hAnsi="仿宋" w:eastAsia="仿宋" w:cs="仿宋"/>
          <w:sz w:val="32"/>
          <w:szCs w:val="32"/>
          <w:lang w:val="zh-CN"/>
        </w:rPr>
        <w:t>帧</w:t>
      </w:r>
      <w:r>
        <w:rPr>
          <w:rFonts w:hint="eastAsia" w:ascii="仿宋" w:hAnsi="仿宋" w:eastAsia="仿宋" w:cs="仿宋"/>
          <w:sz w:val="32"/>
          <w:szCs w:val="32"/>
        </w:rPr>
        <w:t>任选；</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val="zh-CN"/>
        </w:rPr>
        <w:t>、工作</w:t>
      </w:r>
      <w:r>
        <w:rPr>
          <w:rFonts w:hint="eastAsia" w:ascii="仿宋" w:hAnsi="仿宋" w:eastAsia="仿宋" w:cs="仿宋"/>
          <w:sz w:val="32"/>
          <w:szCs w:val="32"/>
        </w:rPr>
        <w:t>续航时间</w:t>
      </w:r>
      <w:r>
        <w:rPr>
          <w:rFonts w:hint="eastAsia" w:ascii="仿宋" w:hAnsi="仿宋" w:eastAsia="仿宋" w:cs="仿宋"/>
          <w:sz w:val="32"/>
          <w:szCs w:val="32"/>
          <w:lang w:val="zh-CN"/>
        </w:rPr>
        <w:t>：≥</w:t>
      </w:r>
      <w:r>
        <w:rPr>
          <w:rFonts w:hint="eastAsia" w:ascii="仿宋" w:hAnsi="仿宋" w:eastAsia="仿宋" w:cs="仿宋"/>
          <w:sz w:val="32"/>
          <w:szCs w:val="32"/>
        </w:rPr>
        <w:t>3</w:t>
      </w:r>
      <w:r>
        <w:rPr>
          <w:rFonts w:hint="eastAsia" w:ascii="仿宋" w:hAnsi="仿宋" w:eastAsia="仿宋" w:cs="仿宋"/>
          <w:sz w:val="32"/>
          <w:szCs w:val="32"/>
          <w:lang w:val="zh-CN"/>
        </w:rPr>
        <w:t>小时；</w:t>
      </w:r>
      <w:r>
        <w:rPr>
          <w:rFonts w:hint="eastAsia" w:ascii="仿宋" w:hAnsi="仿宋" w:eastAsia="仿宋" w:cs="仿宋"/>
          <w:sz w:val="32"/>
          <w:szCs w:val="32"/>
        </w:rPr>
        <w:t>并支持市电运行环境，满足长程使用；设备适配安卓</w:t>
      </w:r>
      <w:r>
        <w:rPr>
          <w:rFonts w:hint="eastAsia" w:ascii="仿宋" w:hAnsi="仿宋" w:eastAsia="仿宋" w:cs="仿宋"/>
          <w:sz w:val="32"/>
          <w:szCs w:val="32"/>
          <w:lang w:val="zh-CN"/>
        </w:rPr>
        <w:t>手机、平板电脑、笔记本电脑、台式电脑等</w:t>
      </w:r>
      <w:r>
        <w:rPr>
          <w:rFonts w:hint="eastAsia" w:ascii="仿宋" w:hAnsi="仿宋" w:eastAsia="仿宋" w:cs="仿宋"/>
          <w:sz w:val="32"/>
          <w:szCs w:val="32"/>
        </w:rPr>
        <w:t>多终端显示链接使用；</w:t>
      </w:r>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14、主机</w:t>
      </w:r>
      <w:r>
        <w:rPr>
          <w:rFonts w:hint="eastAsia" w:ascii="仿宋" w:hAnsi="仿宋" w:eastAsia="仿宋" w:cs="仿宋"/>
          <w:sz w:val="32"/>
          <w:szCs w:val="32"/>
          <w:lang w:val="zh-CN"/>
        </w:rPr>
        <w:t>重量：≤</w:t>
      </w:r>
      <w:r>
        <w:rPr>
          <w:rFonts w:hint="eastAsia" w:ascii="仿宋" w:hAnsi="仿宋" w:eastAsia="仿宋" w:cs="仿宋"/>
          <w:sz w:val="32"/>
          <w:szCs w:val="32"/>
        </w:rPr>
        <w:t>220</w:t>
      </w:r>
      <w:r>
        <w:rPr>
          <w:rFonts w:hint="eastAsia" w:ascii="仿宋" w:hAnsi="仿宋" w:eastAsia="仿宋" w:cs="仿宋"/>
          <w:sz w:val="32"/>
          <w:szCs w:val="32"/>
          <w:lang w:val="zh-CN"/>
        </w:rPr>
        <w:t>g；</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15、内置“新手导航”快捷操作手法图示，方便教学培训使用；</w:t>
      </w:r>
    </w:p>
    <w:p>
      <w:pPr>
        <w:pStyle w:val="2"/>
        <w:ind w:firstLineChars="200"/>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rPr>
        <w:t>★16、配套平板电脑，方便实际操作使用；</w:t>
      </w:r>
    </w:p>
    <w:p/>
    <w:p>
      <w:pPr>
        <w:pStyle w:val="2"/>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糖化血红蛋白仪：</w:t>
      </w:r>
    </w:p>
    <w:tbl>
      <w:tblPr>
        <w:tblStyle w:val="20"/>
        <w:tblW w:w="870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7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采用先进的免疫散射比浊法，结果准确可靠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2</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配备专门的急诊位用于急诊样本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3</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可与市场上常见血细胞分析仪、尿液流水线轨道联机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4</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全中文操作界面，智能化信息管理系统， 操作简便快捷，定标、质控、样本测试智能化管理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5</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外接 RS232、USB 接口，支持 LIS 双向连接，足够的数据存储空间，支持外置条形码扫描枪、打印机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6</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智能云平台软件可实时监测仪器运行状态、实时在线远程质控管理等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7</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配套试剂特异性及灵敏度强，可避免非特异性反应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8</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样本类型：全血、血清、血浆、预稀释血、尿液、脑脊液等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9</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原始管直接上机， 50 个样本位轨道式连续进样， 自动全血混匀， 自动穿刺取血， 自动条码扫描， 支持采血管、 EP 管、尿液管、微量样品杯等上机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10</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可自动搅拌， 自动温控 ，支持液面探测功能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11</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抗原过剩检测，高值样本自动稀释重测 ，可自定义重测稀释度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12</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可自主定标， 符合 ISO15189 质量控制要求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13</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可检测超敏 C 反应蛋白、全程全血 C 反应蛋白(hsCRP+常规 CRP)、血清淀粉样蛋白 A(SAA) 、糖化血红蛋白(HbA1c)、尿微量白蛋白(mALB)、胱抑素 C、铜蓝蛋白、抗环瓜氨酸肽（CCP）抗体、类风湿因子、抗链球菌溶血素 O、D-二聚体、中性粒细胞明胶酶相关脂质运载蛋白（NGAL）、游离 Kappa 轻链、游离 Lambda 轻链、免疫球蛋白 G1、免疫球蛋白 G4 等 50 余个项目，可自主设置参考范围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14</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微量末梢血， CRP+SAA 两个项目用血量仅 13 微升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15</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全血样本 HCT 自动校正， 全血与血清样本结果无差异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16</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可开展免疫类、心血管病类、急性时相反应类、肾病类、糖尿病类项目组合测试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17</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装载 50 个反应杯 ，每个反应杯经自动清洗后可重复使用， 空白率过高提示更换反应杯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18</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加样针具有液面探测功能、堵针提示功能，机械臂、加样针防撞功能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19</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30 个试剂位，试剂类型自动识别， 实时提醒试剂状态 ，试剂盘带有不间断冷藏功能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20</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CRP、SAA、尿蛋白等项目在国家卫健委室间质评中有单独分组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914"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21</w:t>
            </w:r>
          </w:p>
        </w:tc>
        <w:tc>
          <w:tcPr>
            <w:tcW w:w="7786" w:type="dxa"/>
            <w:shd w:val="clear" w:color="auto" w:fill="auto"/>
          </w:tcPr>
          <w:p>
            <w:pPr>
              <w:pStyle w:val="2"/>
              <w:ind w:firstLine="0" w:firstLineChars="0"/>
              <w:rPr>
                <w:rFonts w:hint="eastAsia" w:ascii="仿宋" w:hAnsi="仿宋" w:eastAsia="仿宋" w:cs="仿宋"/>
                <w:sz w:val="32"/>
                <w:szCs w:val="32"/>
              </w:rPr>
            </w:pPr>
            <w:r>
              <w:rPr>
                <w:rFonts w:hint="eastAsia" w:ascii="仿宋" w:hAnsi="仿宋" w:eastAsia="仿宋" w:cs="仿宋"/>
                <w:sz w:val="32"/>
                <w:szCs w:val="32"/>
              </w:rPr>
              <w:t>★仪器提供 10 年免费保修服务， 全国多地设有厂家专业售后服务网点</w:t>
            </w:r>
          </w:p>
        </w:tc>
      </w:tr>
    </w:tbl>
    <w:p>
      <w:pPr>
        <w:pStyle w:val="2"/>
        <w:ind w:firstLine="0" w:firstLineChars="0"/>
        <w:rPr>
          <w:rFonts w:hint="eastAsia" w:ascii="仿宋" w:hAnsi="仿宋" w:eastAsia="仿宋" w:cs="仿宋"/>
          <w:sz w:val="32"/>
          <w:szCs w:val="32"/>
        </w:rPr>
      </w:pPr>
    </w:p>
    <w:p>
      <w:pPr>
        <w:pStyle w:val="2"/>
        <w:ind w:firstLine="0" w:firstLineChars="0"/>
        <w:rPr>
          <w:rFonts w:hint="eastAsia" w:ascii="仿宋" w:hAnsi="仿宋" w:eastAsia="仿宋" w:cs="仿宋"/>
          <w:sz w:val="32"/>
          <w:szCs w:val="32"/>
        </w:rPr>
      </w:pPr>
    </w:p>
    <w:p>
      <w:pPr>
        <w:pStyle w:val="2"/>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商务要求：</w:t>
      </w:r>
    </w:p>
    <w:p>
      <w:pPr>
        <w:pStyle w:val="26"/>
        <w:ind w:firstLine="643"/>
        <w:jc w:val="left"/>
        <w:rPr>
          <w:rFonts w:hint="eastAsia" w:ascii="仿宋" w:hAnsi="仿宋" w:eastAsia="仿宋" w:cs="仿宋"/>
          <w:sz w:val="32"/>
          <w:szCs w:val="32"/>
        </w:rPr>
      </w:pPr>
      <w:r>
        <w:rPr>
          <w:rFonts w:ascii="仿宋" w:hAnsi="仿宋" w:eastAsia="仿宋" w:cs="仿宋"/>
          <w:b/>
          <w:sz w:val="32"/>
          <w:szCs w:val="32"/>
        </w:rPr>
        <w:t>1.</w:t>
      </w:r>
      <w:r>
        <w:rPr>
          <w:rFonts w:hint="eastAsia" w:ascii="仿宋" w:hAnsi="仿宋" w:eastAsia="仿宋" w:cs="仿宋"/>
          <w:b/>
          <w:bCs/>
          <w:sz w:val="32"/>
          <w:szCs w:val="32"/>
        </w:rPr>
        <w:t>响应时间</w:t>
      </w:r>
      <w:r>
        <w:rPr>
          <w:rFonts w:hint="eastAsia" w:ascii="仿宋" w:hAnsi="仿宋" w:eastAsia="仿宋" w:cs="仿宋"/>
          <w:sz w:val="32"/>
          <w:szCs w:val="32"/>
        </w:rPr>
        <w:t>：签订合同后</w:t>
      </w:r>
      <w:r>
        <w:rPr>
          <w:rFonts w:ascii="仿宋" w:hAnsi="仿宋" w:eastAsia="仿宋" w:cs="仿宋"/>
          <w:sz w:val="32"/>
          <w:szCs w:val="32"/>
        </w:rPr>
        <w:t>5</w:t>
      </w:r>
      <w:r>
        <w:rPr>
          <w:rFonts w:hint="eastAsia" w:ascii="仿宋" w:hAnsi="仿宋" w:eastAsia="仿宋" w:cs="仿宋"/>
          <w:sz w:val="32"/>
          <w:szCs w:val="32"/>
        </w:rPr>
        <w:t>日内送货到冠英镇卫生院，并完成服务内容。</w:t>
      </w:r>
    </w:p>
    <w:p>
      <w:pPr>
        <w:pStyle w:val="26"/>
        <w:ind w:firstLine="643"/>
        <w:jc w:val="left"/>
        <w:rPr>
          <w:rFonts w:hint="eastAsia" w:ascii="仿宋" w:hAnsi="仿宋" w:eastAsia="仿宋" w:cs="仿宋"/>
          <w:sz w:val="32"/>
          <w:szCs w:val="32"/>
        </w:rPr>
      </w:pPr>
      <w:r>
        <w:rPr>
          <w:rFonts w:ascii="仿宋" w:hAnsi="仿宋" w:eastAsia="仿宋" w:cs="仿宋"/>
          <w:b/>
          <w:sz w:val="32"/>
          <w:szCs w:val="32"/>
        </w:rPr>
        <w:t>2.</w:t>
      </w:r>
      <w:r>
        <w:rPr>
          <w:rFonts w:hint="eastAsia" w:ascii="仿宋" w:hAnsi="仿宋" w:eastAsia="仿宋" w:cs="仿宋"/>
          <w:b/>
          <w:bCs/>
          <w:sz w:val="32"/>
          <w:szCs w:val="32"/>
        </w:rPr>
        <w:t>服务要求</w:t>
      </w:r>
      <w:r>
        <w:rPr>
          <w:rFonts w:hint="eastAsia" w:ascii="仿宋" w:hAnsi="仿宋" w:eastAsia="仿宋" w:cs="仿宋"/>
          <w:sz w:val="32"/>
          <w:szCs w:val="32"/>
        </w:rPr>
        <w:t>：严格按照医院的要求进行送货、安装、调试，确保顺利使用。</w:t>
      </w:r>
    </w:p>
    <w:p>
      <w:pPr>
        <w:pStyle w:val="26"/>
        <w:ind w:firstLine="643"/>
        <w:jc w:val="left"/>
        <w:rPr>
          <w:rFonts w:hint="eastAsia" w:ascii="仿宋" w:hAnsi="仿宋" w:eastAsia="仿宋" w:cs="仿宋"/>
          <w:sz w:val="32"/>
          <w:szCs w:val="32"/>
        </w:rPr>
      </w:pPr>
      <w:r>
        <w:rPr>
          <w:rFonts w:ascii="仿宋" w:hAnsi="仿宋" w:eastAsia="仿宋" w:cs="仿宋"/>
          <w:b/>
          <w:sz w:val="32"/>
          <w:szCs w:val="32"/>
        </w:rPr>
        <w:t>3.</w:t>
      </w:r>
      <w:r>
        <w:rPr>
          <w:rFonts w:hint="eastAsia" w:ascii="仿宋" w:hAnsi="仿宋" w:eastAsia="仿宋" w:cs="仿宋"/>
          <w:b/>
          <w:bCs/>
          <w:sz w:val="32"/>
          <w:szCs w:val="32"/>
        </w:rPr>
        <w:t>付款方式</w:t>
      </w:r>
      <w:r>
        <w:rPr>
          <w:rFonts w:hint="eastAsia" w:ascii="仿宋" w:hAnsi="仿宋" w:eastAsia="仿宋" w:cs="仿宋"/>
          <w:sz w:val="32"/>
          <w:szCs w:val="32"/>
        </w:rPr>
        <w:t>：交付并验收合格后，提供相关票据，</w:t>
      </w:r>
      <w:r>
        <w:rPr>
          <w:rFonts w:ascii="仿宋" w:hAnsi="仿宋" w:eastAsia="仿宋" w:cs="仿宋"/>
          <w:sz w:val="32"/>
          <w:szCs w:val="32"/>
        </w:rPr>
        <w:t>90</w:t>
      </w:r>
      <w:r>
        <w:rPr>
          <w:rFonts w:hint="eastAsia" w:ascii="仿宋" w:hAnsi="仿宋" w:eastAsia="仿宋" w:cs="仿宋"/>
          <w:sz w:val="32"/>
          <w:szCs w:val="32"/>
        </w:rPr>
        <w:t>日内支付全款。</w:t>
      </w:r>
    </w:p>
    <w:p>
      <w:pPr>
        <w:pStyle w:val="2"/>
        <w:ind w:firstLine="643" w:firstLineChars="200"/>
        <w:jc w:val="left"/>
        <w:rPr>
          <w:rFonts w:hint="eastAsia" w:ascii="仿宋" w:hAnsi="仿宋" w:eastAsia="仿宋" w:cs="仿宋"/>
          <w:sz w:val="32"/>
          <w:szCs w:val="32"/>
        </w:rPr>
      </w:pPr>
      <w:r>
        <w:rPr>
          <w:rFonts w:ascii="仿宋" w:hAnsi="仿宋" w:eastAsia="仿宋" w:cs="仿宋"/>
          <w:b/>
          <w:sz w:val="32"/>
          <w:szCs w:val="32"/>
        </w:rPr>
        <w:t>4.</w:t>
      </w:r>
      <w:r>
        <w:rPr>
          <w:rFonts w:hint="eastAsia" w:ascii="仿宋" w:hAnsi="仿宋" w:eastAsia="仿宋" w:cs="仿宋"/>
          <w:b/>
          <w:bCs/>
          <w:sz w:val="32"/>
          <w:szCs w:val="32"/>
        </w:rPr>
        <w:t>质量要求</w:t>
      </w:r>
      <w:r>
        <w:rPr>
          <w:rFonts w:hint="eastAsia" w:ascii="仿宋" w:hAnsi="仿宋" w:eastAsia="仿宋" w:cs="仿宋"/>
          <w:sz w:val="32"/>
          <w:szCs w:val="32"/>
        </w:rPr>
        <w:t>：交付的货物或服务需符合合同约定的质量标准，包括技术规格、性能指标、外观要求等。</w:t>
      </w:r>
    </w:p>
    <w:p>
      <w:pPr>
        <w:pStyle w:val="26"/>
        <w:ind w:firstLine="643"/>
        <w:jc w:val="left"/>
        <w:rPr>
          <w:rFonts w:hint="eastAsia" w:ascii="仿宋" w:hAnsi="仿宋" w:eastAsia="仿宋" w:cs="仿宋"/>
          <w:sz w:val="32"/>
          <w:szCs w:val="32"/>
        </w:rPr>
      </w:pPr>
      <w:r>
        <w:rPr>
          <w:rFonts w:ascii="仿宋" w:hAnsi="仿宋" w:eastAsia="仿宋" w:cs="仿宋"/>
          <w:b/>
          <w:sz w:val="32"/>
          <w:szCs w:val="32"/>
        </w:rPr>
        <w:t>5.</w:t>
      </w:r>
      <w:r>
        <w:rPr>
          <w:rFonts w:hint="eastAsia" w:ascii="仿宋" w:hAnsi="仿宋" w:eastAsia="仿宋" w:cs="仿宋"/>
          <w:b/>
          <w:bCs/>
          <w:sz w:val="32"/>
          <w:szCs w:val="32"/>
        </w:rPr>
        <w:t>违约责任及解决争议的方法</w:t>
      </w:r>
      <w:r>
        <w:rPr>
          <w:rFonts w:hint="eastAsia" w:ascii="仿宋" w:hAnsi="仿宋" w:eastAsia="仿宋" w:cs="仿宋"/>
          <w:sz w:val="32"/>
          <w:szCs w:val="32"/>
        </w:rPr>
        <w:t>：合同履行期间，若双方发生争议，可协商或由有关部门协调解决，协商或协调不成功的，双方可向五通桥区人民法院提起诉讼依法维护其合法权益。</w:t>
      </w:r>
    </w:p>
    <w:p>
      <w:pPr>
        <w:rPr>
          <w:rFonts w:hint="eastAsia" w:ascii="仿宋" w:hAnsi="仿宋" w:eastAsia="仿宋" w:cs="仿宋"/>
          <w:sz w:val="32"/>
          <w:szCs w:val="32"/>
        </w:rPr>
      </w:pPr>
      <w:r>
        <w:rPr>
          <w:rFonts w:hint="eastAsia" w:ascii="仿宋" w:hAnsi="仿宋" w:eastAsia="仿宋" w:cs="仿宋"/>
          <w:sz w:val="32"/>
          <w:szCs w:val="32"/>
        </w:rPr>
        <w:br w:type="page"/>
      </w:r>
    </w:p>
    <w:p>
      <w:pPr>
        <w:pStyle w:val="4"/>
        <w:rPr>
          <w:rFonts w:hint="eastAsia" w:ascii="仿宋" w:hAnsi="仿宋" w:eastAsia="仿宋" w:cs="仿宋"/>
          <w:b w:val="0"/>
          <w:bCs w:val="0"/>
          <w:kern w:val="2"/>
          <w:sz w:val="32"/>
        </w:rPr>
      </w:pPr>
    </w:p>
    <w:tbl>
      <w:tblPr>
        <w:tblStyle w:val="20"/>
        <w:tblW w:w="10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455"/>
        <w:gridCol w:w="997"/>
        <w:gridCol w:w="5384"/>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67" w:type="dxa"/>
            <w:vAlign w:val="center"/>
          </w:tcPr>
          <w:p>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455" w:type="dxa"/>
            <w:vAlign w:val="center"/>
          </w:tcPr>
          <w:p>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总评分因素及权重</w:t>
            </w:r>
          </w:p>
        </w:tc>
        <w:tc>
          <w:tcPr>
            <w:tcW w:w="997" w:type="dxa"/>
            <w:vAlign w:val="center"/>
          </w:tcPr>
          <w:p>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分项分值</w:t>
            </w:r>
          </w:p>
        </w:tc>
        <w:tc>
          <w:tcPr>
            <w:tcW w:w="5384" w:type="dxa"/>
            <w:vAlign w:val="center"/>
          </w:tcPr>
          <w:p>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评分标准</w:t>
            </w:r>
          </w:p>
        </w:tc>
        <w:tc>
          <w:tcPr>
            <w:tcW w:w="1328" w:type="dxa"/>
            <w:vAlign w:val="center"/>
          </w:tcPr>
          <w:p>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1</w:t>
            </w:r>
          </w:p>
        </w:tc>
        <w:tc>
          <w:tcPr>
            <w:tcW w:w="1455" w:type="dxa"/>
            <w:vAlign w:val="center"/>
          </w:tcPr>
          <w:p>
            <w:pPr>
              <w:pStyle w:val="4"/>
              <w:keepNext w:val="0"/>
              <w:keepLines w:val="0"/>
              <w:spacing w:before="0" w:after="0" w:line="360" w:lineRule="auto"/>
              <w:ind w:firstLine="475" w:firstLineChars="198"/>
              <w:rPr>
                <w:rFonts w:hint="eastAsia" w:ascii="宋体" w:hAnsi="宋体" w:cs="宋体"/>
                <w:b w:val="0"/>
                <w:sz w:val="24"/>
                <w:szCs w:val="24"/>
              </w:rPr>
            </w:pPr>
          </w:p>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报价30%</w:t>
            </w:r>
          </w:p>
          <w:p>
            <w:pPr>
              <w:pStyle w:val="4"/>
              <w:keepNext w:val="0"/>
              <w:keepLines w:val="0"/>
              <w:spacing w:before="0" w:after="0" w:line="360" w:lineRule="auto"/>
              <w:ind w:firstLine="475" w:firstLineChars="198"/>
              <w:rPr>
                <w:rFonts w:hint="eastAsia" w:ascii="宋体" w:hAnsi="宋体" w:cs="宋体"/>
                <w:b w:val="0"/>
                <w:sz w:val="24"/>
                <w:szCs w:val="24"/>
              </w:rPr>
            </w:pPr>
          </w:p>
        </w:tc>
        <w:tc>
          <w:tcPr>
            <w:tcW w:w="997" w:type="dxa"/>
            <w:vAlign w:val="center"/>
          </w:tcPr>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30分</w:t>
            </w:r>
          </w:p>
        </w:tc>
        <w:tc>
          <w:tcPr>
            <w:tcW w:w="5384" w:type="dxa"/>
            <w:vAlign w:val="center"/>
          </w:tcPr>
          <w:p>
            <w:pPr>
              <w:pStyle w:val="4"/>
              <w:keepNext w:val="0"/>
              <w:keepLines w:val="0"/>
              <w:spacing w:before="0" w:after="0" w:line="360" w:lineRule="auto"/>
              <w:jc w:val="left"/>
              <w:rPr>
                <w:rFonts w:hint="eastAsia" w:ascii="宋体" w:hAnsi="宋体" w:cs="宋体"/>
                <w:b w:val="0"/>
                <w:sz w:val="24"/>
                <w:szCs w:val="24"/>
              </w:rPr>
            </w:pPr>
            <w:r>
              <w:rPr>
                <w:rFonts w:hint="eastAsia" w:ascii="宋体" w:hAnsi="宋体" w:cs="宋体"/>
                <w:b w:val="0"/>
                <w:sz w:val="24"/>
                <w:szCs w:val="24"/>
              </w:rPr>
              <w:t>以本次最低有效投标报价为基准价，投标报价得分=(基准价／投标报价)×30。</w:t>
            </w:r>
          </w:p>
          <w:p>
            <w:pPr>
              <w:pStyle w:val="4"/>
              <w:keepNext w:val="0"/>
              <w:keepLines w:val="0"/>
              <w:spacing w:before="0" w:after="0" w:line="360" w:lineRule="auto"/>
              <w:ind w:firstLine="477" w:firstLineChars="198"/>
              <w:jc w:val="left"/>
              <w:rPr>
                <w:rFonts w:hint="eastAsia" w:ascii="宋体" w:hAnsi="宋体" w:cs="宋体"/>
                <w:bCs w:val="0"/>
                <w:sz w:val="24"/>
                <w:szCs w:val="24"/>
              </w:rPr>
            </w:pPr>
          </w:p>
        </w:tc>
        <w:tc>
          <w:tcPr>
            <w:tcW w:w="1328" w:type="dxa"/>
            <w:vAlign w:val="center"/>
          </w:tcPr>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2</w:t>
            </w:r>
          </w:p>
        </w:tc>
        <w:tc>
          <w:tcPr>
            <w:tcW w:w="1455" w:type="dxa"/>
          </w:tcPr>
          <w:p>
            <w:pPr>
              <w:pStyle w:val="4"/>
              <w:keepNext w:val="0"/>
              <w:keepLines w:val="0"/>
              <w:spacing w:before="0" w:after="0" w:line="360" w:lineRule="auto"/>
              <w:rPr>
                <w:rFonts w:hint="eastAsia" w:ascii="宋体" w:hAnsi="宋体" w:cs="宋体"/>
                <w:b w:val="0"/>
                <w:sz w:val="24"/>
                <w:szCs w:val="24"/>
              </w:rPr>
            </w:pPr>
          </w:p>
          <w:p>
            <w:pPr>
              <w:pStyle w:val="4"/>
              <w:keepNext w:val="0"/>
              <w:keepLines w:val="0"/>
              <w:spacing w:before="0" w:after="0" w:line="360" w:lineRule="auto"/>
              <w:rPr>
                <w:rFonts w:hint="eastAsia" w:ascii="宋体" w:hAnsi="宋体" w:cs="宋体"/>
                <w:b w:val="0"/>
                <w:sz w:val="24"/>
                <w:szCs w:val="24"/>
              </w:rPr>
            </w:pPr>
          </w:p>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产品配置性能技术45%</w:t>
            </w:r>
          </w:p>
        </w:tc>
        <w:tc>
          <w:tcPr>
            <w:tcW w:w="997" w:type="dxa"/>
          </w:tcPr>
          <w:p>
            <w:pPr>
              <w:pStyle w:val="4"/>
              <w:keepNext w:val="0"/>
              <w:keepLines w:val="0"/>
              <w:spacing w:before="0" w:after="0" w:line="360" w:lineRule="auto"/>
              <w:rPr>
                <w:rFonts w:hint="eastAsia" w:ascii="宋体" w:hAnsi="宋体" w:cs="宋体"/>
                <w:b w:val="0"/>
                <w:sz w:val="24"/>
                <w:szCs w:val="24"/>
              </w:rPr>
            </w:pPr>
          </w:p>
          <w:p>
            <w:pPr>
              <w:pStyle w:val="4"/>
              <w:keepNext w:val="0"/>
              <w:keepLines w:val="0"/>
              <w:spacing w:before="0" w:after="0" w:line="360" w:lineRule="auto"/>
              <w:rPr>
                <w:rFonts w:hint="eastAsia" w:ascii="宋体" w:hAnsi="宋体" w:cs="宋体"/>
                <w:b w:val="0"/>
                <w:sz w:val="24"/>
                <w:szCs w:val="24"/>
              </w:rPr>
            </w:pPr>
          </w:p>
          <w:p>
            <w:pPr>
              <w:pStyle w:val="4"/>
              <w:keepNext w:val="0"/>
              <w:keepLines w:val="0"/>
              <w:spacing w:before="0" w:after="0" w:line="360" w:lineRule="auto"/>
              <w:rPr>
                <w:rFonts w:hint="eastAsia" w:ascii="宋体" w:hAnsi="宋体" w:cs="宋体"/>
                <w:b w:val="0"/>
                <w:sz w:val="24"/>
                <w:szCs w:val="24"/>
              </w:rPr>
            </w:pPr>
          </w:p>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45分</w:t>
            </w:r>
          </w:p>
        </w:tc>
        <w:tc>
          <w:tcPr>
            <w:tcW w:w="5384" w:type="dxa"/>
          </w:tcPr>
          <w:p>
            <w:pPr>
              <w:pStyle w:val="4"/>
              <w:keepNext w:val="0"/>
              <w:keepLines w:val="0"/>
              <w:spacing w:before="0" w:after="0" w:line="360" w:lineRule="auto"/>
              <w:jc w:val="left"/>
              <w:rPr>
                <w:rFonts w:hint="eastAsia" w:ascii="宋体" w:hAnsi="宋体" w:cs="宋体"/>
                <w:b w:val="0"/>
                <w:sz w:val="24"/>
                <w:szCs w:val="24"/>
              </w:rPr>
            </w:pPr>
            <w:r>
              <w:rPr>
                <w:rFonts w:hint="eastAsia" w:ascii="宋体" w:hAnsi="宋体" w:cs="宋体"/>
                <w:b w:val="0"/>
                <w:sz w:val="24"/>
                <w:szCs w:val="24"/>
              </w:rPr>
              <w:t>技术参数完全符合招标文件技术要求的得45分；</w:t>
            </w:r>
          </w:p>
          <w:p>
            <w:pPr>
              <w:pStyle w:val="4"/>
              <w:keepNext w:val="0"/>
              <w:keepLines w:val="0"/>
              <w:spacing w:before="0" w:after="0" w:line="360" w:lineRule="auto"/>
              <w:jc w:val="left"/>
              <w:rPr>
                <w:rFonts w:hint="eastAsia" w:ascii="宋体" w:hAnsi="宋体" w:cs="宋体"/>
                <w:b w:val="0"/>
                <w:sz w:val="24"/>
                <w:szCs w:val="24"/>
              </w:rPr>
            </w:pPr>
            <w:r>
              <w:rPr>
                <w:rFonts w:hint="eastAsia" w:ascii="宋体" w:hAnsi="宋体" w:cs="宋体"/>
                <w:b w:val="0"/>
                <w:sz w:val="24"/>
                <w:szCs w:val="24"/>
              </w:rPr>
              <w:t>1、带“▲”项参数为本次招标项目的“主要指标”一项不满足扣2分；</w:t>
            </w:r>
          </w:p>
          <w:p>
            <w:pPr>
              <w:pStyle w:val="4"/>
              <w:keepNext w:val="0"/>
              <w:keepLines w:val="0"/>
              <w:spacing w:before="0" w:after="0" w:line="360" w:lineRule="auto"/>
              <w:jc w:val="left"/>
              <w:rPr>
                <w:rFonts w:hint="eastAsia" w:ascii="宋体" w:hAnsi="宋体" w:cs="宋体"/>
                <w:b w:val="0"/>
                <w:sz w:val="24"/>
                <w:szCs w:val="24"/>
              </w:rPr>
            </w:pPr>
            <w:r>
              <w:rPr>
                <w:rFonts w:hint="eastAsia" w:ascii="宋体" w:hAnsi="宋体" w:cs="宋体"/>
                <w:b w:val="0"/>
                <w:sz w:val="24"/>
                <w:szCs w:val="24"/>
              </w:rPr>
              <w:t xml:space="preserve">2、其他的为“一般指标”，一项不满足扣0.5分。 </w:t>
            </w:r>
          </w:p>
          <w:p>
            <w:pPr>
              <w:pStyle w:val="4"/>
              <w:keepNext w:val="0"/>
              <w:keepLines w:val="0"/>
              <w:spacing w:before="0" w:after="0" w:line="360" w:lineRule="auto"/>
              <w:ind w:firstLine="475" w:firstLineChars="198"/>
              <w:jc w:val="left"/>
              <w:rPr>
                <w:rFonts w:hint="eastAsia" w:ascii="宋体" w:hAnsi="宋体" w:cs="宋体"/>
                <w:b w:val="0"/>
                <w:sz w:val="24"/>
                <w:szCs w:val="24"/>
              </w:rPr>
            </w:pPr>
          </w:p>
        </w:tc>
        <w:tc>
          <w:tcPr>
            <w:tcW w:w="1328" w:type="dxa"/>
            <w:vAlign w:val="center"/>
          </w:tcPr>
          <w:p>
            <w:pPr>
              <w:jc w:val="center"/>
              <w:rPr>
                <w:rFonts w:hint="eastAsia" w:ascii="宋体" w:hAnsi="宋体" w:eastAsia="宋体" w:cs="宋体"/>
                <w:sz w:val="24"/>
              </w:rPr>
            </w:pPr>
            <w:r>
              <w:rPr>
                <w:rFonts w:hint="eastAsia" w:ascii="宋体" w:hAnsi="宋体" w:eastAsia="宋体" w:cs="宋体"/>
                <w:sz w:val="24"/>
              </w:rPr>
              <w:t>技术类评分因素</w:t>
            </w:r>
          </w:p>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3</w:t>
            </w:r>
          </w:p>
        </w:tc>
        <w:tc>
          <w:tcPr>
            <w:tcW w:w="1455" w:type="dxa"/>
            <w:vAlign w:val="center"/>
          </w:tcPr>
          <w:p>
            <w:pPr>
              <w:widowControl/>
              <w:textAlignment w:val="center"/>
              <w:rPr>
                <w:rFonts w:hint="eastAsia" w:ascii="宋体" w:hAnsi="宋体" w:eastAsia="宋体" w:cs="宋体"/>
                <w:bCs/>
                <w:sz w:val="24"/>
              </w:rPr>
            </w:pPr>
            <w:r>
              <w:rPr>
                <w:rFonts w:hint="eastAsia" w:ascii="宋体" w:hAnsi="宋体" w:eastAsia="宋体" w:cs="宋体"/>
                <w:kern w:val="0"/>
                <w:sz w:val="24"/>
                <w:lang w:bidi="ar"/>
              </w:rPr>
              <w:t>项目实施方案</w:t>
            </w:r>
            <w:r>
              <w:rPr>
                <w:rFonts w:ascii="宋体" w:hAnsi="宋体" w:eastAsia="宋体" w:cs="宋体"/>
                <w:kern w:val="0"/>
                <w:sz w:val="24"/>
                <w:lang w:bidi="ar"/>
              </w:rPr>
              <w:t>22%</w:t>
            </w:r>
          </w:p>
        </w:tc>
        <w:tc>
          <w:tcPr>
            <w:tcW w:w="997" w:type="dxa"/>
            <w:vAlign w:val="center"/>
          </w:tcPr>
          <w:p>
            <w:pPr>
              <w:widowControl/>
              <w:textAlignment w:val="center"/>
              <w:rPr>
                <w:rFonts w:hint="eastAsia" w:ascii="宋体" w:hAnsi="宋体" w:eastAsia="宋体" w:cs="宋体"/>
                <w:bCs/>
                <w:sz w:val="24"/>
              </w:rPr>
            </w:pPr>
            <w:r>
              <w:rPr>
                <w:rFonts w:hint="eastAsia" w:ascii="宋体" w:hAnsi="宋体" w:eastAsia="宋体" w:cs="宋体"/>
                <w:kern w:val="0"/>
                <w:sz w:val="24"/>
                <w:lang w:bidi="ar"/>
              </w:rPr>
              <w:t>22分</w:t>
            </w:r>
          </w:p>
        </w:tc>
        <w:tc>
          <w:tcPr>
            <w:tcW w:w="5384" w:type="dxa"/>
            <w:vAlign w:val="center"/>
          </w:tcPr>
          <w:p>
            <w:pPr>
              <w:pStyle w:val="4"/>
              <w:keepNext w:val="0"/>
              <w:keepLines w:val="0"/>
              <w:spacing w:before="0" w:after="0" w:line="360" w:lineRule="auto"/>
              <w:ind w:firstLine="480" w:firstLineChars="200"/>
              <w:jc w:val="left"/>
              <w:rPr>
                <w:rFonts w:hint="eastAsia" w:ascii="宋体" w:hAnsi="宋体" w:cs="宋体"/>
                <w:b w:val="0"/>
                <w:sz w:val="24"/>
                <w:szCs w:val="24"/>
              </w:rPr>
            </w:pPr>
            <w:r>
              <w:rPr>
                <w:rFonts w:hint="eastAsia" w:ascii="宋体" w:hAnsi="宋体" w:cs="宋体"/>
                <w:b w:val="0"/>
                <w:sz w:val="24"/>
                <w:szCs w:val="24"/>
              </w:rPr>
              <w:t>1、根据投标人针对本项目提供的供货服务方案，包括但不限于：①运输方式②供货期保障措施③供货人员安排等进行综合评分，</w:t>
            </w:r>
            <w:r>
              <w:rPr>
                <w:rFonts w:hint="eastAsia" w:ascii="宋体" w:hAnsi="宋体" w:cs="宋体"/>
                <w:b w:val="0"/>
                <w:sz w:val="24"/>
                <w:szCs w:val="24"/>
                <w:lang w:val="zh-CN"/>
              </w:rPr>
              <w:t>以上内容符合实际情况、内容完善、完全响应采购要求得</w:t>
            </w:r>
            <w:r>
              <w:rPr>
                <w:rFonts w:hint="eastAsia" w:ascii="宋体" w:hAnsi="宋体" w:cs="宋体"/>
                <w:b w:val="0"/>
                <w:sz w:val="24"/>
                <w:szCs w:val="24"/>
              </w:rPr>
              <w:t>6</w:t>
            </w:r>
            <w:r>
              <w:rPr>
                <w:rFonts w:hint="eastAsia" w:ascii="宋体" w:hAnsi="宋体" w:cs="宋体"/>
                <w:b w:val="0"/>
                <w:sz w:val="24"/>
                <w:szCs w:val="24"/>
                <w:lang w:val="zh-CN"/>
              </w:rPr>
              <w:t>分，每缺漏一项扣</w:t>
            </w:r>
            <w:r>
              <w:rPr>
                <w:rFonts w:hint="eastAsia" w:ascii="宋体" w:hAnsi="宋体" w:cs="宋体"/>
                <w:b w:val="0"/>
                <w:sz w:val="24"/>
                <w:szCs w:val="24"/>
              </w:rPr>
              <w:t>2</w:t>
            </w:r>
            <w:r>
              <w:rPr>
                <w:rFonts w:hint="eastAsia" w:ascii="宋体" w:hAnsi="宋体" w:cs="宋体"/>
                <w:b w:val="0"/>
                <w:sz w:val="24"/>
                <w:szCs w:val="24"/>
                <w:lang w:val="zh-CN"/>
              </w:rPr>
              <w:t>分，每有一处内容缺陷</w:t>
            </w:r>
            <w:r>
              <w:rPr>
                <w:rFonts w:hint="eastAsia" w:ascii="宋体" w:hAnsi="宋体" w:cs="宋体"/>
                <w:b w:val="0"/>
                <w:sz w:val="24"/>
                <w:szCs w:val="24"/>
              </w:rPr>
              <w:t>（缺陷是指：存在不适用项目实际情况的情形、凭空编造、内容前后不一致、前后逻辑错误、涉及的规范及标准错误、地点区域错误、内容缺失、</w:t>
            </w:r>
            <w:r>
              <w:rPr>
                <w:rFonts w:hint="eastAsia" w:ascii="宋体" w:hAnsi="宋体" w:cs="宋体"/>
                <w:b w:val="0"/>
                <w:sz w:val="24"/>
                <w:szCs w:val="24"/>
                <w:lang w:val="zh-CN"/>
              </w:rPr>
              <w:t>与项目实施特点不匹配</w:t>
            </w:r>
            <w:r>
              <w:rPr>
                <w:rFonts w:hint="eastAsia" w:ascii="宋体" w:hAnsi="宋体" w:cs="宋体"/>
                <w:b w:val="0"/>
                <w:sz w:val="24"/>
                <w:szCs w:val="24"/>
              </w:rPr>
              <w:t>等）</w:t>
            </w:r>
            <w:r>
              <w:rPr>
                <w:rFonts w:hint="eastAsia" w:ascii="宋体" w:hAnsi="宋体" w:cs="宋体"/>
                <w:b w:val="0"/>
                <w:sz w:val="24"/>
                <w:szCs w:val="24"/>
                <w:lang w:val="zh-CN"/>
              </w:rPr>
              <w:t>扣</w:t>
            </w:r>
            <w:r>
              <w:rPr>
                <w:rFonts w:hint="eastAsia" w:ascii="宋体" w:hAnsi="宋体" w:cs="宋体"/>
                <w:b w:val="0"/>
                <w:sz w:val="24"/>
                <w:szCs w:val="24"/>
              </w:rPr>
              <w:t>1</w:t>
            </w:r>
            <w:r>
              <w:rPr>
                <w:rFonts w:hint="eastAsia" w:ascii="宋体" w:hAnsi="宋体" w:cs="宋体"/>
                <w:b w:val="0"/>
                <w:sz w:val="24"/>
                <w:szCs w:val="24"/>
                <w:lang w:val="zh-CN"/>
              </w:rPr>
              <w:t>分，扣完为止。</w:t>
            </w:r>
          </w:p>
          <w:p>
            <w:pPr>
              <w:pStyle w:val="4"/>
              <w:keepNext w:val="0"/>
              <w:keepLines w:val="0"/>
              <w:spacing w:before="0" w:after="0" w:line="360" w:lineRule="auto"/>
              <w:ind w:firstLine="480" w:firstLineChars="200"/>
              <w:jc w:val="left"/>
              <w:rPr>
                <w:rFonts w:hint="eastAsia" w:ascii="宋体" w:hAnsi="宋体" w:cs="宋体"/>
                <w:b w:val="0"/>
                <w:sz w:val="24"/>
                <w:szCs w:val="24"/>
              </w:rPr>
            </w:pPr>
            <w:r>
              <w:rPr>
                <w:rFonts w:hint="eastAsia" w:ascii="宋体" w:hAnsi="宋体" w:cs="宋体"/>
                <w:b w:val="0"/>
                <w:sz w:val="24"/>
                <w:szCs w:val="24"/>
              </w:rPr>
              <w:t>2、根据投标人针对本项目提供的人员培训方案，包括但不限于：</w:t>
            </w:r>
            <w:r>
              <w:rPr>
                <w:rFonts w:hint="eastAsia" w:ascii="宋体" w:hAnsi="宋体" w:cs="宋体"/>
                <w:b w:val="0"/>
                <w:sz w:val="24"/>
                <w:szCs w:val="24"/>
                <w:lang w:val="zh-CN"/>
              </w:rPr>
              <w:t>括①培训内容②培训时间③培训人员安排</w:t>
            </w:r>
            <w:r>
              <w:rPr>
                <w:rFonts w:hint="eastAsia" w:ascii="宋体" w:hAnsi="宋体" w:cs="宋体"/>
                <w:b w:val="0"/>
                <w:sz w:val="24"/>
                <w:szCs w:val="24"/>
              </w:rPr>
              <w:t>等进行综合评分，</w:t>
            </w:r>
            <w:r>
              <w:rPr>
                <w:rFonts w:hint="eastAsia" w:ascii="宋体" w:hAnsi="宋体" w:cs="宋体"/>
                <w:b w:val="0"/>
                <w:sz w:val="24"/>
                <w:szCs w:val="24"/>
                <w:lang w:val="zh-CN"/>
              </w:rPr>
              <w:t>以上内容符合实际情况、内容完善、完全响应采购要求得</w:t>
            </w:r>
            <w:r>
              <w:rPr>
                <w:rFonts w:hint="eastAsia" w:ascii="宋体" w:hAnsi="宋体" w:cs="宋体"/>
                <w:b w:val="0"/>
                <w:sz w:val="24"/>
                <w:szCs w:val="24"/>
              </w:rPr>
              <w:t>6</w:t>
            </w:r>
            <w:r>
              <w:rPr>
                <w:rFonts w:hint="eastAsia" w:ascii="宋体" w:hAnsi="宋体" w:cs="宋体"/>
                <w:b w:val="0"/>
                <w:sz w:val="24"/>
                <w:szCs w:val="24"/>
                <w:lang w:val="zh-CN"/>
              </w:rPr>
              <w:t>分，每缺漏一项扣</w:t>
            </w:r>
            <w:r>
              <w:rPr>
                <w:rFonts w:hint="eastAsia" w:ascii="宋体" w:hAnsi="宋体" w:cs="宋体"/>
                <w:b w:val="0"/>
                <w:sz w:val="24"/>
                <w:szCs w:val="24"/>
              </w:rPr>
              <w:t>2</w:t>
            </w:r>
            <w:r>
              <w:rPr>
                <w:rFonts w:hint="eastAsia" w:ascii="宋体" w:hAnsi="宋体" w:cs="宋体"/>
                <w:b w:val="0"/>
                <w:sz w:val="24"/>
                <w:szCs w:val="24"/>
                <w:lang w:val="zh-CN"/>
              </w:rPr>
              <w:t>分，每有一处内容缺陷</w:t>
            </w:r>
            <w:r>
              <w:rPr>
                <w:rFonts w:hint="eastAsia" w:ascii="宋体" w:hAnsi="宋体" w:cs="宋体"/>
                <w:b w:val="0"/>
                <w:sz w:val="24"/>
                <w:szCs w:val="24"/>
              </w:rPr>
              <w:t>（缺陷是指：存在不适用项目实际情况的情形、凭空编造、内容前后不一致、前后逻辑错误、涉及的规范及标准错误、地点区域错误、内容缺失、</w:t>
            </w:r>
            <w:r>
              <w:rPr>
                <w:rFonts w:hint="eastAsia" w:ascii="宋体" w:hAnsi="宋体" w:cs="宋体"/>
                <w:b w:val="0"/>
                <w:sz w:val="24"/>
                <w:szCs w:val="24"/>
                <w:lang w:val="zh-CN"/>
              </w:rPr>
              <w:t>与项目实施特点不匹配</w:t>
            </w:r>
            <w:r>
              <w:rPr>
                <w:rFonts w:hint="eastAsia" w:ascii="宋体" w:hAnsi="宋体" w:cs="宋体"/>
                <w:b w:val="0"/>
                <w:sz w:val="24"/>
                <w:szCs w:val="24"/>
              </w:rPr>
              <w:t>等）</w:t>
            </w:r>
            <w:r>
              <w:rPr>
                <w:rFonts w:hint="eastAsia" w:ascii="宋体" w:hAnsi="宋体" w:cs="宋体"/>
                <w:b w:val="0"/>
                <w:sz w:val="24"/>
                <w:szCs w:val="24"/>
                <w:lang w:val="zh-CN"/>
              </w:rPr>
              <w:t>扣</w:t>
            </w:r>
            <w:r>
              <w:rPr>
                <w:rFonts w:hint="eastAsia" w:ascii="宋体" w:hAnsi="宋体" w:cs="宋体"/>
                <w:b w:val="0"/>
                <w:sz w:val="24"/>
                <w:szCs w:val="24"/>
              </w:rPr>
              <w:t>1</w:t>
            </w:r>
            <w:r>
              <w:rPr>
                <w:rFonts w:hint="eastAsia" w:ascii="宋体" w:hAnsi="宋体" w:cs="宋体"/>
                <w:b w:val="0"/>
                <w:sz w:val="24"/>
                <w:szCs w:val="24"/>
                <w:lang w:val="zh-CN"/>
              </w:rPr>
              <w:t>分，扣完为止。</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sz w:val="24"/>
              </w:rPr>
              <w:t>3、根据投标人针对本项目提供的售后服务方案，包括但不限于：①售后服务质量保证措施；②后续服务计划及保障措施；③后期服务人员保障及措施；④技术支持能力；⑤故障响应、处理流程及应急响应机制等进行综合评分，</w:t>
            </w:r>
            <w:r>
              <w:rPr>
                <w:rFonts w:hint="eastAsia" w:ascii="宋体" w:hAnsi="宋体" w:eastAsia="宋体" w:cs="宋体"/>
                <w:sz w:val="24"/>
                <w:lang w:val="zh-CN"/>
              </w:rPr>
              <w:t>以上内容符合实际情况、内容完善、完全响应采购要求得</w:t>
            </w:r>
            <w:r>
              <w:rPr>
                <w:rFonts w:hint="eastAsia" w:ascii="宋体" w:hAnsi="宋体" w:eastAsia="宋体" w:cs="宋体"/>
                <w:sz w:val="24"/>
              </w:rPr>
              <w:t>10</w:t>
            </w:r>
            <w:r>
              <w:rPr>
                <w:rFonts w:hint="eastAsia" w:ascii="宋体" w:hAnsi="宋体" w:eastAsia="宋体" w:cs="宋体"/>
                <w:sz w:val="24"/>
                <w:lang w:val="zh-CN"/>
              </w:rPr>
              <w:t>分，每缺漏一项扣</w:t>
            </w:r>
            <w:r>
              <w:rPr>
                <w:rFonts w:hint="eastAsia" w:ascii="宋体" w:hAnsi="宋体" w:eastAsia="宋体" w:cs="宋体"/>
                <w:sz w:val="24"/>
              </w:rPr>
              <w:t>2</w:t>
            </w:r>
            <w:r>
              <w:rPr>
                <w:rFonts w:hint="eastAsia" w:ascii="宋体" w:hAnsi="宋体" w:eastAsia="宋体" w:cs="宋体"/>
                <w:sz w:val="24"/>
                <w:lang w:val="zh-CN"/>
              </w:rPr>
              <w:t>分，每有一处内容缺陷</w:t>
            </w:r>
            <w:r>
              <w:rPr>
                <w:rFonts w:hint="eastAsia" w:ascii="宋体" w:hAnsi="宋体" w:eastAsia="宋体" w:cs="宋体"/>
                <w:sz w:val="24"/>
              </w:rPr>
              <w:t>（缺陷是指：存在不适用项目实际情况的情形、凭空编造、内容前后不一致、前后逻辑错误、涉及的规范及标准错误、地点区域错误、内容缺失、</w:t>
            </w:r>
            <w:r>
              <w:rPr>
                <w:rFonts w:hint="eastAsia" w:ascii="宋体" w:hAnsi="宋体" w:eastAsia="宋体" w:cs="宋体"/>
                <w:sz w:val="24"/>
                <w:lang w:val="zh-CN"/>
              </w:rPr>
              <w:t>与项目实施特点不匹配</w:t>
            </w:r>
            <w:r>
              <w:rPr>
                <w:rFonts w:hint="eastAsia" w:ascii="宋体" w:hAnsi="宋体" w:eastAsia="宋体" w:cs="宋体"/>
                <w:sz w:val="24"/>
              </w:rPr>
              <w:t>等）</w:t>
            </w:r>
            <w:r>
              <w:rPr>
                <w:rFonts w:hint="eastAsia" w:ascii="宋体" w:hAnsi="宋体" w:eastAsia="宋体" w:cs="宋体"/>
                <w:sz w:val="24"/>
                <w:lang w:val="zh-CN"/>
              </w:rPr>
              <w:t>扣</w:t>
            </w:r>
            <w:r>
              <w:rPr>
                <w:rFonts w:hint="eastAsia" w:ascii="宋体" w:hAnsi="宋体" w:eastAsia="宋体" w:cs="宋体"/>
                <w:sz w:val="24"/>
              </w:rPr>
              <w:t>1</w:t>
            </w:r>
            <w:r>
              <w:rPr>
                <w:rFonts w:hint="eastAsia" w:ascii="宋体" w:hAnsi="宋体" w:eastAsia="宋体" w:cs="宋体"/>
                <w:sz w:val="24"/>
                <w:lang w:val="zh-CN"/>
              </w:rPr>
              <w:t>分，扣完为止</w:t>
            </w:r>
            <w:r>
              <w:rPr>
                <w:rFonts w:hint="eastAsia" w:ascii="宋体" w:hAnsi="宋体" w:eastAsia="宋体" w:cs="宋体"/>
                <w:sz w:val="24"/>
              </w:rPr>
              <w:t>。</w:t>
            </w:r>
          </w:p>
        </w:tc>
        <w:tc>
          <w:tcPr>
            <w:tcW w:w="1328" w:type="dxa"/>
            <w:vAlign w:val="center"/>
          </w:tcPr>
          <w:p>
            <w:pPr>
              <w:widowControl/>
              <w:textAlignment w:val="center"/>
              <w:rPr>
                <w:rFonts w:hint="eastAsia" w:ascii="宋体" w:hAnsi="宋体" w:eastAsia="宋体" w:cs="宋体"/>
                <w:bCs/>
                <w:sz w:val="24"/>
              </w:rPr>
            </w:pPr>
            <w:r>
              <w:rPr>
                <w:rFonts w:hint="eastAsia" w:ascii="宋体"/>
                <w:sz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rPr>
            </w:pPr>
            <w:r>
              <w:rPr>
                <w:rFonts w:hint="eastAsia" w:ascii="宋体" w:hAnsi="宋体" w:cs="宋体"/>
                <w:b w:val="0"/>
                <w:sz w:val="24"/>
                <w:szCs w:val="24"/>
              </w:rPr>
              <w:t>4</w:t>
            </w:r>
          </w:p>
        </w:tc>
        <w:tc>
          <w:tcPr>
            <w:tcW w:w="1455" w:type="dxa"/>
            <w:vAlign w:val="center"/>
          </w:tcPr>
          <w:p>
            <w:pPr>
              <w:widowControl/>
              <w:spacing w:line="36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履约能力</w:t>
            </w:r>
            <w:r>
              <w:rPr>
                <w:rStyle w:val="25"/>
                <w:rFonts w:hint="default"/>
                <w:color w:val="auto"/>
                <w:sz w:val="24"/>
                <w:szCs w:val="24"/>
                <w:lang w:bidi="ar"/>
              </w:rPr>
              <w:t>3%</w:t>
            </w:r>
          </w:p>
        </w:tc>
        <w:tc>
          <w:tcPr>
            <w:tcW w:w="997" w:type="dxa"/>
            <w:vAlign w:val="center"/>
          </w:tcPr>
          <w:p>
            <w:pPr>
              <w:widowControl/>
              <w:spacing w:line="360"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3分</w:t>
            </w:r>
          </w:p>
        </w:tc>
        <w:tc>
          <w:tcPr>
            <w:tcW w:w="5384" w:type="dxa"/>
            <w:vAlign w:val="center"/>
          </w:tcPr>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投标人提供202</w:t>
            </w:r>
            <w:r>
              <w:rPr>
                <w:rFonts w:hint="eastAsia" w:ascii="宋体" w:hAnsi="宋体" w:cs="宋体"/>
                <w:sz w:val="24"/>
              </w:rPr>
              <w:t>1</w:t>
            </w:r>
            <w:r>
              <w:rPr>
                <w:rFonts w:hint="eastAsia" w:ascii="宋体" w:hAnsi="宋体" w:eastAsia="宋体" w:cs="宋体"/>
                <w:sz w:val="24"/>
              </w:rPr>
              <w:t>年至今承担的类似项目业绩，每提供一个得</w:t>
            </w:r>
            <w:r>
              <w:rPr>
                <w:rFonts w:hint="eastAsia" w:ascii="宋体" w:hAnsi="宋体" w:cs="宋体"/>
                <w:sz w:val="24"/>
              </w:rPr>
              <w:t>1</w:t>
            </w:r>
            <w:r>
              <w:rPr>
                <w:rFonts w:hint="eastAsia" w:ascii="宋体" w:hAnsi="宋体" w:eastAsia="宋体" w:cs="宋体"/>
                <w:sz w:val="24"/>
              </w:rPr>
              <w:t>分，最高得3分。</w:t>
            </w:r>
          </w:p>
          <w:p>
            <w:pPr>
              <w:widowControl/>
              <w:spacing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注：提供合同复印件加盖公章。</w:t>
            </w:r>
          </w:p>
        </w:tc>
        <w:tc>
          <w:tcPr>
            <w:tcW w:w="1328" w:type="dxa"/>
            <w:vAlign w:val="center"/>
          </w:tcPr>
          <w:p>
            <w:pPr>
              <w:widowControl/>
              <w:spacing w:line="360" w:lineRule="auto"/>
              <w:textAlignment w:val="center"/>
              <w:rPr>
                <w:rFonts w:ascii="宋体"/>
                <w:sz w:val="24"/>
              </w:rPr>
            </w:pPr>
            <w:r>
              <w:rPr>
                <w:rFonts w:hint="eastAsia" w:ascii="宋体" w:hAnsi="宋体" w:eastAsia="宋体" w:cs="宋体"/>
                <w:kern w:val="0"/>
                <w:sz w:val="24"/>
                <w:lang w:bidi="ar"/>
              </w:rPr>
              <w:t>共同评分因素</w:t>
            </w:r>
          </w:p>
        </w:tc>
      </w:tr>
    </w:tbl>
    <w:p>
      <w:pPr>
        <w:rPr>
          <w:rFonts w:hint="eastAsia" w:ascii="黑体" w:hAnsi="黑体" w:eastAsia="黑体" w:cs="黑体"/>
        </w:rPr>
      </w:pPr>
    </w:p>
    <w:sectPr>
      <w:headerReference r:id="rId4" w:type="first"/>
      <w:footerReference r:id="rId6" w:type="first"/>
      <w:headerReference r:id="rId3" w:type="default"/>
      <w:footerReference r:id="rId5" w:type="default"/>
      <w:pgSz w:w="11906" w:h="16838"/>
      <w:pgMar w:top="1134" w:right="1134" w:bottom="1077" w:left="1361"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082214"/>
    <w:rsid w:val="0009690B"/>
    <w:rsid w:val="000D5762"/>
    <w:rsid w:val="00175C23"/>
    <w:rsid w:val="001B7217"/>
    <w:rsid w:val="002160BE"/>
    <w:rsid w:val="00243CD2"/>
    <w:rsid w:val="0026508E"/>
    <w:rsid w:val="00292EA0"/>
    <w:rsid w:val="002A39BC"/>
    <w:rsid w:val="002C6478"/>
    <w:rsid w:val="002E2E65"/>
    <w:rsid w:val="002F07D8"/>
    <w:rsid w:val="003027E1"/>
    <w:rsid w:val="00327CDC"/>
    <w:rsid w:val="003A7F29"/>
    <w:rsid w:val="003E41E7"/>
    <w:rsid w:val="0041521A"/>
    <w:rsid w:val="005766F5"/>
    <w:rsid w:val="005C6A29"/>
    <w:rsid w:val="00607080"/>
    <w:rsid w:val="006545F5"/>
    <w:rsid w:val="00656225"/>
    <w:rsid w:val="00706536"/>
    <w:rsid w:val="007936C1"/>
    <w:rsid w:val="007D7040"/>
    <w:rsid w:val="007E4A1F"/>
    <w:rsid w:val="007F2652"/>
    <w:rsid w:val="008303A5"/>
    <w:rsid w:val="00880476"/>
    <w:rsid w:val="009573A1"/>
    <w:rsid w:val="009813FB"/>
    <w:rsid w:val="009F3315"/>
    <w:rsid w:val="00A02782"/>
    <w:rsid w:val="00A3111C"/>
    <w:rsid w:val="00A40622"/>
    <w:rsid w:val="00A7124B"/>
    <w:rsid w:val="00A757F0"/>
    <w:rsid w:val="00A92705"/>
    <w:rsid w:val="00AE1DBD"/>
    <w:rsid w:val="00AE2A9B"/>
    <w:rsid w:val="00BA1A8B"/>
    <w:rsid w:val="00BC7BA0"/>
    <w:rsid w:val="00C51FBB"/>
    <w:rsid w:val="00C7060E"/>
    <w:rsid w:val="00C850A8"/>
    <w:rsid w:val="00CC1319"/>
    <w:rsid w:val="00CC4D1B"/>
    <w:rsid w:val="00D81739"/>
    <w:rsid w:val="00DA07EA"/>
    <w:rsid w:val="00E2670E"/>
    <w:rsid w:val="00E32773"/>
    <w:rsid w:val="00E37E38"/>
    <w:rsid w:val="00FA0971"/>
    <w:rsid w:val="00FE1018"/>
    <w:rsid w:val="00FE51BA"/>
    <w:rsid w:val="01724615"/>
    <w:rsid w:val="01AC44D5"/>
    <w:rsid w:val="01DA1F83"/>
    <w:rsid w:val="022C53EC"/>
    <w:rsid w:val="02653FAC"/>
    <w:rsid w:val="038264FB"/>
    <w:rsid w:val="03E45948"/>
    <w:rsid w:val="03EB6F22"/>
    <w:rsid w:val="047A7398"/>
    <w:rsid w:val="04976AF6"/>
    <w:rsid w:val="05813897"/>
    <w:rsid w:val="059F6314"/>
    <w:rsid w:val="05B93485"/>
    <w:rsid w:val="05DD44EC"/>
    <w:rsid w:val="05FA4A68"/>
    <w:rsid w:val="06C83EF1"/>
    <w:rsid w:val="07954271"/>
    <w:rsid w:val="07E32607"/>
    <w:rsid w:val="083F7233"/>
    <w:rsid w:val="08570094"/>
    <w:rsid w:val="0892424A"/>
    <w:rsid w:val="08A100E8"/>
    <w:rsid w:val="08D706EB"/>
    <w:rsid w:val="09281C73"/>
    <w:rsid w:val="092B0852"/>
    <w:rsid w:val="093408E6"/>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4F079B"/>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483ACF"/>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432205"/>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04922"/>
    <w:rsid w:val="66C47D68"/>
    <w:rsid w:val="67A45BAF"/>
    <w:rsid w:val="67CF5796"/>
    <w:rsid w:val="6855309E"/>
    <w:rsid w:val="68B23C16"/>
    <w:rsid w:val="69264D03"/>
    <w:rsid w:val="694F76A8"/>
    <w:rsid w:val="69884565"/>
    <w:rsid w:val="69CF4DB4"/>
    <w:rsid w:val="69F16575"/>
    <w:rsid w:val="69FE6269"/>
    <w:rsid w:val="6B110ED0"/>
    <w:rsid w:val="6B3D74AC"/>
    <w:rsid w:val="6BF5199F"/>
    <w:rsid w:val="6C01476E"/>
    <w:rsid w:val="6C81461E"/>
    <w:rsid w:val="6CE610BF"/>
    <w:rsid w:val="6CED312F"/>
    <w:rsid w:val="6CF2654E"/>
    <w:rsid w:val="6D1916FD"/>
    <w:rsid w:val="6D226C43"/>
    <w:rsid w:val="6D323E04"/>
    <w:rsid w:val="6D535020"/>
    <w:rsid w:val="6DCF5925"/>
    <w:rsid w:val="6E383ABA"/>
    <w:rsid w:val="6E8B493F"/>
    <w:rsid w:val="6EA3545A"/>
    <w:rsid w:val="6F9F7F7D"/>
    <w:rsid w:val="71061A1F"/>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1"/>
    <w:next w:val="1"/>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8">
    <w:name w:val="page number"/>
    <w:basedOn w:val="17"/>
    <w:qFormat/>
    <w:uiPriority w:val="0"/>
  </w:style>
  <w:style w:type="character" w:styleId="19">
    <w:name w:val="Hyperlink"/>
    <w:qFormat/>
    <w:uiPriority w:val="0"/>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
    <w:link w:val="3"/>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7"/>
    <w:qFormat/>
    <w:uiPriority w:val="0"/>
    <w:rPr>
      <w:rFonts w:ascii="Calibri" w:hAnsi="Calibri" w:cs="Calibri"/>
      <w:color w:val="000000"/>
      <w:sz w:val="18"/>
      <w:szCs w:val="18"/>
      <w:u w:val="none"/>
    </w:rPr>
  </w:style>
  <w:style w:type="character" w:customStyle="1" w:styleId="25">
    <w:name w:val="font01"/>
    <w:basedOn w:val="17"/>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Cs w:val="22"/>
    </w:rPr>
  </w:style>
  <w:style w:type="paragraph" w:customStyle="1" w:styleId="27">
    <w:name w:val="文章正文"/>
    <w:basedOn w:val="1"/>
    <w:qFormat/>
    <w:uiPriority w:val="0"/>
    <w:pPr>
      <w:spacing w:line="360" w:lineRule="auto"/>
      <w:ind w:firstLine="420"/>
    </w:pPr>
    <w:rPr>
      <w:rFonts w:ascii="Calibri" w:hAnsi="Calibri"/>
      <w:sz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4"/>
      <w:szCs w:val="1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5710</Words>
  <Characters>5993</Characters>
  <Lines>63</Lines>
  <Paragraphs>17</Paragraphs>
  <TotalTime>4</TotalTime>
  <ScaleCrop>false</ScaleCrop>
  <LinksUpToDate>false</LinksUpToDate>
  <CharactersWithSpaces>6193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L</cp:lastModifiedBy>
  <cp:lastPrinted>2019-09-23T08:20:00Z</cp:lastPrinted>
  <dcterms:modified xsi:type="dcterms:W3CDTF">2025-12-19T01:52:20Z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BDCF5AF9B01242DDB46AEA9FC08B318F_13</vt:lpwstr>
  </property>
  <property fmtid="{D5CDD505-2E9C-101B-9397-08002B2CF9AE}" pid="4" name="KSOTemplateDocerSaveRecord">
    <vt:lpwstr>eyJoZGlkIjoiNjQxMGQ1MDU4OTJmZDMwZmUwMjhhMTY4YmI3MGFkMGMiLCJ1c2VySWQiOiIyNTE2ODU0MDQifQ==</vt:lpwstr>
  </property>
</Properties>
</file>