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A0FBF7">
      <w:pPr>
        <w:jc w:val="center"/>
        <w:rPr>
          <w:rFonts w:hint="eastAsia" w:ascii="黑体" w:hAnsi="黑体" w:eastAsia="黑体" w:cs="黑体"/>
          <w:sz w:val="36"/>
          <w:szCs w:val="36"/>
        </w:rPr>
      </w:pPr>
      <w:r>
        <w:rPr>
          <w:rFonts w:hint="eastAsia" w:ascii="黑体" w:hAnsi="黑体" w:eastAsia="黑体" w:cs="黑体"/>
          <w:sz w:val="36"/>
          <w:szCs w:val="36"/>
        </w:rPr>
        <w:t>第一章  乐山市五通桥区人民医院新院区前五年财务与运营效益综合测算报告服务院内采购公告</w:t>
      </w:r>
    </w:p>
    <w:p w14:paraId="74F310EE">
      <w:pPr>
        <w:widowControl/>
        <w:jc w:val="left"/>
        <w:rPr>
          <w:rFonts w:hint="eastAsia" w:ascii="黑体" w:hAnsi="黑体" w:eastAsia="黑体" w:cs="黑体"/>
          <w:color w:val="555555"/>
          <w:kern w:val="0"/>
          <w:sz w:val="28"/>
          <w:szCs w:val="28"/>
        </w:rPr>
      </w:pPr>
    </w:p>
    <w:p w14:paraId="4C006BC5">
      <w:pPr>
        <w:widowControl/>
        <w:ind w:firstLine="640" w:firstLineChars="200"/>
        <w:jc w:val="left"/>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lang w:val="en-US" w:eastAsia="zh-CN"/>
        </w:rPr>
        <w:t>一、</w:t>
      </w:r>
      <w:r>
        <w:rPr>
          <w:rFonts w:hint="eastAsia" w:ascii="仿宋" w:hAnsi="仿宋" w:eastAsia="仿宋" w:cs="仿宋"/>
          <w:color w:val="555555"/>
          <w:kern w:val="0"/>
          <w:sz w:val="32"/>
          <w:szCs w:val="32"/>
        </w:rPr>
        <w:t>采购项目名称：新院区前五年财务与运营效益综合测算报告服务</w:t>
      </w:r>
    </w:p>
    <w:p w14:paraId="6E3B7874">
      <w:pPr>
        <w:widowControl/>
        <w:ind w:firstLine="640" w:firstLineChars="200"/>
        <w:jc w:val="left"/>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rPr>
        <w:t xml:space="preserve">项目采购编号：YLJT20251103 </w:t>
      </w:r>
    </w:p>
    <w:p w14:paraId="1A1130E4">
      <w:pPr>
        <w:widowControl/>
        <w:ind w:firstLine="640" w:firstLineChars="200"/>
        <w:jc w:val="left"/>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rPr>
        <w:t xml:space="preserve">项目采购限价：3万元   </w:t>
      </w:r>
    </w:p>
    <w:p w14:paraId="0E1949FA">
      <w:pPr>
        <w:widowControl/>
        <w:ind w:firstLine="640" w:firstLineChars="200"/>
        <w:jc w:val="left"/>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rPr>
        <w:t>采购项目内容（详细要求请看附件）：</w:t>
      </w:r>
    </w:p>
    <w:p w14:paraId="739C041B">
      <w:pPr>
        <w:widowControl/>
        <w:ind w:firstLine="640" w:firstLineChars="200"/>
        <w:jc w:val="left"/>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rPr>
        <w:t>二、参加采购的供应商数量：三家及以上；在乐山市五通桥区人民医院官方网站上发布公告（https://www.wtqqrmyy.cn/）；本项目若有补遗或更正公告会在官网上发布，请参加采购的供应商随时关注；若因以上原因造成的损失由供应商自行负责。</w:t>
      </w:r>
    </w:p>
    <w:p w14:paraId="7A1A4B4C">
      <w:pPr>
        <w:widowControl/>
        <w:ind w:firstLine="640" w:firstLineChars="200"/>
        <w:jc w:val="left"/>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rPr>
        <w:t>三、供应商参加本次采购活动需要提交的资料：</w:t>
      </w:r>
    </w:p>
    <w:p w14:paraId="7A6AF1EE">
      <w:pPr>
        <w:widowControl/>
        <w:ind w:firstLine="640" w:firstLineChars="200"/>
        <w:jc w:val="left"/>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rPr>
        <w:t>1.潜在响应供应商可直接从本公告的附件中下载相关文件（如对文件有异议，应在本公告的有效时间电话询问或以书面提出合理质疑。公告到期后未收到书面质疑，视为潜在供应商认同文件的全部内容，采购办不再受理响应供应商对采购公告或相关文件的质疑。）</w:t>
      </w:r>
    </w:p>
    <w:p w14:paraId="1D542D62">
      <w:pPr>
        <w:widowControl/>
        <w:ind w:firstLine="640" w:firstLineChars="200"/>
        <w:jc w:val="left"/>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rPr>
        <w:t>2.提交资料应按照采购文件中的承诺函、廉洁承诺书、采购资质要求、技术及商务要求提供2套。</w:t>
      </w:r>
    </w:p>
    <w:p w14:paraId="778153DA">
      <w:pPr>
        <w:widowControl/>
        <w:ind w:firstLine="640" w:firstLineChars="200"/>
        <w:jc w:val="left"/>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rPr>
        <w:t>3.报价以及资料，采购响应文件封面请注明项目名称、联系人、联系电话、自行密封并加盖公章。</w:t>
      </w:r>
    </w:p>
    <w:p w14:paraId="4362FEE8">
      <w:pPr>
        <w:widowControl/>
        <w:ind w:firstLine="640" w:firstLineChars="200"/>
        <w:jc w:val="left"/>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rPr>
        <w:t>4.请满足上述资质要求的供应商于2025年12 月10日17:00之前将资料送至乐山市五通桥区人民医院采购办（行政楼三楼楼梯处），在截</w:t>
      </w:r>
      <w:r>
        <w:rPr>
          <w:rFonts w:hint="eastAsia" w:ascii="仿宋" w:hAnsi="仿宋" w:eastAsia="仿宋" w:cs="仿宋"/>
          <w:color w:val="555555"/>
          <w:kern w:val="0"/>
          <w:sz w:val="32"/>
          <w:szCs w:val="32"/>
          <w:lang w:val="en-US" w:eastAsia="zh-CN"/>
        </w:rPr>
        <w:t>止</w:t>
      </w:r>
      <w:bookmarkStart w:id="17" w:name="_GoBack"/>
      <w:bookmarkEnd w:id="17"/>
      <w:r>
        <w:rPr>
          <w:rFonts w:hint="eastAsia" w:ascii="仿宋" w:hAnsi="仿宋" w:eastAsia="仿宋" w:cs="仿宋"/>
          <w:color w:val="555555"/>
          <w:kern w:val="0"/>
          <w:sz w:val="32"/>
          <w:szCs w:val="32"/>
        </w:rPr>
        <w:t>时间以后送到的响应文件将被拒绝并退还给供应商。</w:t>
      </w:r>
    </w:p>
    <w:p w14:paraId="2A02E536">
      <w:pPr>
        <w:widowControl/>
        <w:ind w:firstLine="640" w:firstLineChars="200"/>
        <w:jc w:val="left"/>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rPr>
        <w:t>四、其他要求（参加采购的供应商视为全部接受以下条款）</w:t>
      </w:r>
    </w:p>
    <w:p w14:paraId="347244EE">
      <w:pPr>
        <w:widowControl/>
        <w:ind w:firstLine="640" w:firstLineChars="200"/>
        <w:jc w:val="left"/>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rPr>
        <w:t>1.方案报价在30日内有效，报价包括供应商履约过程中的服务费、人工、差旅、保险、税金与供应商履约所需要的其他所有费用。</w:t>
      </w:r>
    </w:p>
    <w:p w14:paraId="3143ECD8">
      <w:pPr>
        <w:widowControl/>
        <w:ind w:firstLine="640" w:firstLineChars="200"/>
        <w:jc w:val="left"/>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rPr>
        <w:t>2.在供应商满足相关资质要求及服务要求的条件下，采购采用综合评分法（一次报价），中标结果由医院网站公示，中标公司请在公示后30日内到采购办签订合同，超过公示后30日不响应签订合同的视为放弃中标资格，放弃中标资格或因不可抗力提出不能履行合同的，将按照排名先后顺序依次替补或重新招采。</w:t>
      </w:r>
    </w:p>
    <w:p w14:paraId="499B7E02">
      <w:pPr>
        <w:pStyle w:val="16"/>
        <w:ind w:firstLine="320"/>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rPr>
        <w:t xml:space="preserve">  3.本项目不接受联合体，不允许分包。</w:t>
      </w:r>
    </w:p>
    <w:p w14:paraId="109C1231">
      <w:pPr>
        <w:pStyle w:val="16"/>
        <w:ind w:firstLine="640" w:firstLineChars="200"/>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rPr>
        <w:t>采购联系人:李老师      联系电话:0833-3189923</w:t>
      </w:r>
    </w:p>
    <w:p w14:paraId="75756923">
      <w:pPr>
        <w:pStyle w:val="16"/>
        <w:ind w:firstLine="640" w:firstLineChars="200"/>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rPr>
        <w:t>项目联系人:</w:t>
      </w:r>
      <w:bookmarkStart w:id="0" w:name="OLE_LINK1"/>
      <w:r>
        <w:rPr>
          <w:rFonts w:hint="eastAsia" w:ascii="仿宋" w:hAnsi="仿宋" w:eastAsia="仿宋" w:cs="仿宋"/>
          <w:color w:val="555555"/>
          <w:kern w:val="0"/>
          <w:sz w:val="32"/>
          <w:szCs w:val="32"/>
        </w:rPr>
        <w:t>张老师</w:t>
      </w:r>
      <w:bookmarkEnd w:id="0"/>
      <w:r>
        <w:rPr>
          <w:rFonts w:hint="eastAsia" w:ascii="仿宋" w:hAnsi="仿宋" w:eastAsia="仿宋" w:cs="仿宋"/>
          <w:color w:val="555555"/>
          <w:kern w:val="0"/>
          <w:sz w:val="32"/>
          <w:szCs w:val="32"/>
        </w:rPr>
        <w:t xml:space="preserve">      联系电话:0833-3357826</w:t>
      </w:r>
    </w:p>
    <w:p w14:paraId="35E1FD27">
      <w:pPr>
        <w:rPr>
          <w:rFonts w:hint="eastAsia" w:ascii="黑体" w:hAnsi="黑体" w:eastAsia="黑体" w:cs="黑体"/>
          <w:b/>
          <w:bCs/>
          <w:sz w:val="72"/>
          <w:szCs w:val="72"/>
        </w:rPr>
      </w:pPr>
      <w:r>
        <w:rPr>
          <w:rFonts w:hint="eastAsia" w:ascii="黑体" w:hAnsi="黑体" w:eastAsia="黑体" w:cs="黑体"/>
          <w:b/>
          <w:bCs/>
          <w:sz w:val="72"/>
          <w:szCs w:val="72"/>
        </w:rPr>
        <w:br w:type="page"/>
      </w:r>
    </w:p>
    <w:p w14:paraId="10221923">
      <w:pPr>
        <w:pStyle w:val="5"/>
        <w:jc w:val="center"/>
      </w:pPr>
      <w:r>
        <w:rPr>
          <w:rFonts w:hint="eastAsia" w:ascii="黑体" w:hAnsi="黑体" w:eastAsia="黑体" w:cs="黑体"/>
          <w:b/>
          <w:sz w:val="36"/>
          <w:szCs w:val="36"/>
        </w:rPr>
        <w:t>第二章  采购须知</w:t>
      </w:r>
    </w:p>
    <w:p w14:paraId="19CA5D7B">
      <w:pPr>
        <w:pStyle w:val="31"/>
      </w:pPr>
    </w:p>
    <w:p w14:paraId="230EF4D4">
      <w:pPr>
        <w:ind w:firstLine="643" w:firstLineChars="200"/>
        <w:rPr>
          <w:rFonts w:hint="eastAsia" w:ascii="仿宋" w:hAnsi="仿宋" w:eastAsia="仿宋" w:cs="仿宋"/>
          <w:b/>
          <w:sz w:val="32"/>
          <w:szCs w:val="32"/>
        </w:rPr>
      </w:pPr>
      <w:r>
        <w:rPr>
          <w:rFonts w:hint="eastAsia" w:ascii="仿宋" w:hAnsi="仿宋" w:eastAsia="仿宋" w:cs="仿宋"/>
          <w:b/>
          <w:sz w:val="32"/>
          <w:szCs w:val="32"/>
        </w:rPr>
        <w:t>一、院内采购总则</w:t>
      </w:r>
    </w:p>
    <w:p w14:paraId="3F4D46FE">
      <w:pPr>
        <w:ind w:firstLine="640" w:firstLineChars="200"/>
        <w:rPr>
          <w:rFonts w:hint="eastAsia" w:ascii="仿宋" w:hAnsi="仿宋" w:eastAsia="仿宋" w:cs="仿宋"/>
          <w:sz w:val="32"/>
          <w:szCs w:val="32"/>
        </w:rPr>
      </w:pPr>
      <w:r>
        <w:rPr>
          <w:rFonts w:hint="eastAsia" w:ascii="仿宋" w:hAnsi="仿宋" w:eastAsia="仿宋" w:cs="仿宋"/>
          <w:sz w:val="32"/>
          <w:szCs w:val="32"/>
        </w:rPr>
        <w:t>1.本采购项目参照《中华人民共和国政府采购法》《四川省政府采购非招标采购方式实施办法》等有关法律、法规和规章，通过综合评分的方式确定成交供应商。</w:t>
      </w:r>
    </w:p>
    <w:p w14:paraId="0333F314">
      <w:pPr>
        <w:ind w:firstLine="640" w:firstLineChars="200"/>
        <w:rPr>
          <w:rFonts w:hint="eastAsia" w:ascii="仿宋" w:hAnsi="仿宋" w:eastAsia="仿宋" w:cs="仿宋"/>
          <w:sz w:val="32"/>
          <w:szCs w:val="32"/>
        </w:rPr>
      </w:pPr>
      <w:r>
        <w:rPr>
          <w:rFonts w:hint="eastAsia" w:ascii="仿宋" w:hAnsi="仿宋" w:eastAsia="仿宋" w:cs="仿宋"/>
          <w:sz w:val="32"/>
          <w:szCs w:val="32"/>
        </w:rPr>
        <w:t>2.本项目采购范围包括价格、质量、服务等方面内容，交货时间在合同中约定。</w:t>
      </w:r>
    </w:p>
    <w:p w14:paraId="38ABDA1A">
      <w:pPr>
        <w:ind w:firstLine="640" w:firstLineChars="200"/>
        <w:rPr>
          <w:rFonts w:hint="eastAsia" w:ascii="仿宋" w:hAnsi="仿宋" w:eastAsia="仿宋" w:cs="仿宋"/>
          <w:sz w:val="32"/>
          <w:szCs w:val="32"/>
        </w:rPr>
      </w:pPr>
      <w:r>
        <w:rPr>
          <w:rFonts w:hint="eastAsia" w:ascii="仿宋" w:hAnsi="仿宋" w:eastAsia="仿宋" w:cs="仿宋"/>
          <w:sz w:val="32"/>
          <w:szCs w:val="32"/>
        </w:rPr>
        <w:t>3.本采购项目最低要求：符合资质条件、技术参数及商务要求且报价不超过最高限价。</w:t>
      </w:r>
    </w:p>
    <w:p w14:paraId="1BDF5D52">
      <w:pPr>
        <w:ind w:firstLine="640" w:firstLineChars="200"/>
        <w:rPr>
          <w:rFonts w:hint="eastAsia" w:ascii="仿宋" w:hAnsi="仿宋" w:eastAsia="仿宋" w:cs="仿宋"/>
          <w:sz w:val="32"/>
          <w:szCs w:val="32"/>
        </w:rPr>
      </w:pPr>
      <w:r>
        <w:rPr>
          <w:rFonts w:hint="eastAsia" w:ascii="仿宋" w:hAnsi="仿宋" w:eastAsia="仿宋" w:cs="仿宋"/>
          <w:sz w:val="32"/>
          <w:szCs w:val="32"/>
        </w:rPr>
        <w:t>4.供应商自行承担本项目采购活动所发生现场踏勘、标书制作等费用。</w:t>
      </w:r>
    </w:p>
    <w:p w14:paraId="1B0301B1">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二、采购响应文件的编制</w:t>
      </w:r>
    </w:p>
    <w:p w14:paraId="3101858D">
      <w:pPr>
        <w:ind w:firstLine="640" w:firstLineChars="200"/>
        <w:rPr>
          <w:rFonts w:hint="eastAsia" w:ascii="仿宋" w:hAnsi="仿宋" w:eastAsia="仿宋" w:cs="仿宋"/>
          <w:sz w:val="32"/>
          <w:szCs w:val="32"/>
        </w:rPr>
      </w:pPr>
      <w:r>
        <w:rPr>
          <w:rFonts w:hint="eastAsia" w:ascii="仿宋" w:hAnsi="仿宋" w:eastAsia="仿宋" w:cs="仿宋"/>
          <w:sz w:val="32"/>
          <w:szCs w:val="32"/>
        </w:rPr>
        <w:t>1.采购响应文件的密封：须提供标书一份，密封于一个包装袋内，封口处加盖单位鲜章，封面须注明：“项目名称：        ”，“项目编号：     ”，“于   年  月  日  时  分前不得拆封”等字样。未按询价文件要求密封的响应文件将被拒收。</w:t>
      </w:r>
    </w:p>
    <w:p w14:paraId="0579DB29">
      <w:pPr>
        <w:ind w:firstLine="640" w:firstLineChars="200"/>
        <w:rPr>
          <w:rFonts w:hint="eastAsia" w:ascii="仿宋" w:hAnsi="仿宋" w:eastAsia="仿宋" w:cs="仿宋"/>
          <w:sz w:val="32"/>
          <w:szCs w:val="32"/>
        </w:rPr>
      </w:pPr>
      <w:r>
        <w:rPr>
          <w:rFonts w:hint="eastAsia" w:ascii="仿宋" w:hAnsi="仿宋" w:eastAsia="仿宋" w:cs="仿宋"/>
          <w:sz w:val="32"/>
          <w:szCs w:val="32"/>
        </w:rPr>
        <w:t>2.采购响应文件分正（副）本装订，一正</w:t>
      </w:r>
      <w:r>
        <w:rPr>
          <w:rFonts w:hint="eastAsia" w:ascii="仿宋" w:hAnsi="仿宋" w:eastAsia="仿宋" w:cs="仿宋"/>
          <w:sz w:val="32"/>
          <w:szCs w:val="32"/>
          <w:lang w:eastAsia="zh-Hans"/>
        </w:rPr>
        <w:t>一</w:t>
      </w:r>
      <w:r>
        <w:rPr>
          <w:rFonts w:hint="eastAsia" w:ascii="仿宋" w:hAnsi="仿宋" w:eastAsia="仿宋" w:cs="仿宋"/>
          <w:sz w:val="32"/>
          <w:szCs w:val="32"/>
        </w:rPr>
        <w:t>副，须用A4幅面纸张打印装订。</w:t>
      </w:r>
    </w:p>
    <w:p w14:paraId="04160E01">
      <w:pPr>
        <w:ind w:firstLine="640" w:firstLineChars="200"/>
        <w:rPr>
          <w:rFonts w:hint="eastAsia" w:ascii="仿宋" w:hAnsi="仿宋" w:eastAsia="仿宋" w:cs="仿宋"/>
          <w:sz w:val="32"/>
          <w:szCs w:val="32"/>
        </w:rPr>
      </w:pPr>
      <w:r>
        <w:rPr>
          <w:rFonts w:hint="eastAsia" w:ascii="仿宋" w:hAnsi="仿宋" w:eastAsia="仿宋" w:cs="仿宋"/>
          <w:sz w:val="32"/>
          <w:szCs w:val="32"/>
        </w:rPr>
        <w:t>3.采购响应文件的打印和书写应清楚工整，签字确认并加盖公章，否则无效。供应商为法人的，应当由其法定代表人或者代理人签字确认。</w:t>
      </w:r>
    </w:p>
    <w:p w14:paraId="3C2DAFCE">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三、院内采购会议的召开</w:t>
      </w:r>
    </w:p>
    <w:p w14:paraId="39DEF128">
      <w:pPr>
        <w:rPr>
          <w:rFonts w:hint="eastAsia" w:ascii="仿宋" w:hAnsi="仿宋" w:eastAsia="仿宋" w:cs="仿宋"/>
          <w:sz w:val="32"/>
          <w:szCs w:val="32"/>
        </w:rPr>
      </w:pPr>
      <w:r>
        <w:rPr>
          <w:rFonts w:hint="eastAsia" w:ascii="仿宋" w:hAnsi="仿宋" w:eastAsia="仿宋" w:cs="仿宋"/>
          <w:b/>
          <w:sz w:val="32"/>
          <w:szCs w:val="32"/>
        </w:rPr>
        <w:t xml:space="preserve">    </w:t>
      </w:r>
      <w:r>
        <w:rPr>
          <w:rFonts w:hint="eastAsia" w:ascii="仿宋" w:hAnsi="仿宋" w:eastAsia="仿宋" w:cs="仿宋"/>
          <w:sz w:val="32"/>
          <w:szCs w:val="32"/>
        </w:rPr>
        <w:t>院内采购会议顺序:</w:t>
      </w:r>
    </w:p>
    <w:p w14:paraId="0E47CF89">
      <w:pPr>
        <w:ind w:firstLine="640" w:firstLineChars="200"/>
        <w:rPr>
          <w:rFonts w:hint="eastAsia" w:ascii="仿宋" w:hAnsi="仿宋" w:eastAsia="仿宋" w:cs="仿宋"/>
          <w:sz w:val="32"/>
          <w:szCs w:val="32"/>
        </w:rPr>
      </w:pPr>
      <w:r>
        <w:rPr>
          <w:rFonts w:hint="eastAsia" w:ascii="仿宋" w:hAnsi="仿宋" w:eastAsia="仿宋" w:cs="仿宋"/>
          <w:sz w:val="32"/>
          <w:szCs w:val="32"/>
        </w:rPr>
        <w:t>1.院内采购由采购办主持；</w:t>
      </w:r>
    </w:p>
    <w:p w14:paraId="4D20C8B5">
      <w:pPr>
        <w:ind w:firstLine="640" w:firstLineChars="200"/>
        <w:rPr>
          <w:rFonts w:hint="eastAsia" w:ascii="仿宋" w:hAnsi="仿宋" w:eastAsia="仿宋" w:cs="仿宋"/>
          <w:sz w:val="32"/>
          <w:szCs w:val="32"/>
        </w:rPr>
      </w:pPr>
      <w:r>
        <w:rPr>
          <w:rFonts w:hint="eastAsia" w:ascii="仿宋" w:hAnsi="仿宋" w:eastAsia="仿宋" w:cs="仿宋"/>
          <w:sz w:val="32"/>
          <w:szCs w:val="32"/>
        </w:rPr>
        <w:t>2.由监督人员检查采购响应文件密封情况；</w:t>
      </w:r>
    </w:p>
    <w:p w14:paraId="4F34A63D">
      <w:pPr>
        <w:ind w:firstLine="640" w:firstLineChars="200"/>
        <w:rPr>
          <w:rFonts w:hint="eastAsia" w:ascii="仿宋" w:hAnsi="仿宋" w:eastAsia="仿宋" w:cs="仿宋"/>
          <w:sz w:val="32"/>
          <w:szCs w:val="32"/>
        </w:rPr>
      </w:pPr>
      <w:r>
        <w:rPr>
          <w:rFonts w:hint="eastAsia" w:ascii="仿宋" w:hAnsi="仿宋" w:eastAsia="仿宋" w:cs="仿宋"/>
          <w:sz w:val="32"/>
          <w:szCs w:val="32"/>
        </w:rPr>
        <w:t>3.将符合密封要求的资格、技术商务、报价响应文件送评审小组评审；</w:t>
      </w:r>
    </w:p>
    <w:p w14:paraId="030C5B85">
      <w:pPr>
        <w:pStyle w:val="7"/>
        <w:ind w:left="0" w:leftChars="0" w:firstLine="640" w:firstLineChars="200"/>
        <w:rPr>
          <w:rFonts w:hint="eastAsia" w:ascii="仿宋" w:hAnsi="仿宋" w:eastAsia="仿宋" w:cs="仿宋"/>
          <w:color w:val="000000"/>
          <w:sz w:val="32"/>
          <w:szCs w:val="32"/>
        </w:rPr>
      </w:pPr>
      <w:r>
        <w:rPr>
          <w:rFonts w:hint="eastAsia" w:ascii="仿宋" w:hAnsi="仿宋" w:eastAsia="仿宋" w:cs="仿宋"/>
          <w:sz w:val="32"/>
          <w:szCs w:val="32"/>
        </w:rPr>
        <w:t>4.采购结束后，由评审小组根据报价情况，</w:t>
      </w:r>
      <w:r>
        <w:rPr>
          <w:rFonts w:hint="eastAsia" w:ascii="仿宋" w:hAnsi="仿宋" w:eastAsia="仿宋" w:cs="仿宋"/>
          <w:color w:val="000000"/>
          <w:sz w:val="32"/>
          <w:szCs w:val="32"/>
        </w:rPr>
        <w:t>推荐成交候选供应商。</w:t>
      </w:r>
    </w:p>
    <w:p w14:paraId="4365677A">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四、质疑提出与答复</w:t>
      </w:r>
    </w:p>
    <w:p w14:paraId="0F9D6027">
      <w:pPr>
        <w:ind w:firstLine="640" w:firstLineChars="200"/>
        <w:rPr>
          <w:rFonts w:hint="eastAsia" w:ascii="仿宋" w:hAnsi="仿宋" w:eastAsia="仿宋" w:cs="仿宋"/>
          <w:sz w:val="32"/>
          <w:szCs w:val="32"/>
        </w:rPr>
      </w:pPr>
      <w:r>
        <w:rPr>
          <w:rFonts w:hint="eastAsia" w:ascii="仿宋" w:hAnsi="仿宋" w:eastAsia="仿宋" w:cs="仿宋"/>
          <w:sz w:val="32"/>
          <w:szCs w:val="32"/>
        </w:rPr>
        <w:t>供应商对采购文件中资格、技术、商务要求以及对采购文件编制、采购程序的询问或质疑，可以电话进行询问或以书面形式实名签字盖章在递交院内采购文件截止时间前一日之前向采购办提出，并由采购办进行统一回复。供应商在3个工作日内应一次性提出针对同一采购程序环节的质疑。质疑采取书面形式，质疑函原件采取当面递交采购办。受理日期则以采购办收到质疑函原件之日计算。</w:t>
      </w:r>
      <w:r>
        <w:rPr>
          <w:rFonts w:hint="eastAsia" w:ascii="仿宋" w:hAnsi="仿宋" w:eastAsia="仿宋" w:cs="仿宋"/>
          <w:sz w:val="32"/>
          <w:szCs w:val="32"/>
          <w:lang w:val="zh-CN"/>
        </w:rPr>
        <w:t>受理联系人及联系方式见公告</w:t>
      </w:r>
      <w:r>
        <w:rPr>
          <w:rFonts w:hint="eastAsia" w:ascii="仿宋" w:hAnsi="仿宋" w:eastAsia="仿宋" w:cs="仿宋"/>
          <w:sz w:val="32"/>
          <w:szCs w:val="32"/>
        </w:rPr>
        <w:t>采购办</w:t>
      </w:r>
      <w:r>
        <w:rPr>
          <w:rFonts w:hint="eastAsia" w:ascii="仿宋" w:hAnsi="仿宋" w:eastAsia="仿宋" w:cs="仿宋"/>
          <w:sz w:val="32"/>
          <w:szCs w:val="32"/>
          <w:lang w:val="zh-CN"/>
        </w:rPr>
        <w:t>联系人。</w:t>
      </w:r>
    </w:p>
    <w:p w14:paraId="20C8FABF">
      <w:pPr>
        <w:rPr>
          <w:rFonts w:hint="eastAsia" w:ascii="黑体" w:hAnsi="黑体" w:eastAsia="黑体" w:cs="黑体"/>
          <w:b/>
          <w:bCs/>
          <w:sz w:val="44"/>
          <w:szCs w:val="44"/>
        </w:rPr>
      </w:pPr>
      <w:r>
        <w:rPr>
          <w:rFonts w:hint="eastAsia" w:ascii="黑体" w:hAnsi="黑体" w:eastAsia="黑体" w:cs="黑体"/>
          <w:b/>
          <w:bCs/>
          <w:sz w:val="44"/>
          <w:szCs w:val="44"/>
        </w:rPr>
        <w:br w:type="page"/>
      </w:r>
    </w:p>
    <w:p w14:paraId="39CDB652">
      <w:pPr>
        <w:spacing w:line="360" w:lineRule="exact"/>
        <w:jc w:val="center"/>
        <w:outlineLvl w:val="0"/>
        <w:rPr>
          <w:rFonts w:hint="eastAsia" w:ascii="黑体" w:hAnsi="黑体" w:eastAsia="黑体" w:cs="黑体"/>
          <w:sz w:val="36"/>
          <w:szCs w:val="36"/>
        </w:rPr>
      </w:pPr>
      <w:r>
        <w:rPr>
          <w:rFonts w:hint="eastAsia" w:ascii="黑体" w:hAnsi="黑体" w:eastAsia="黑体" w:cs="黑体"/>
          <w:b/>
          <w:sz w:val="36"/>
          <w:szCs w:val="36"/>
        </w:rPr>
        <w:t>第三章  采购程序和成交标准</w:t>
      </w:r>
    </w:p>
    <w:p w14:paraId="155C006B">
      <w:pPr>
        <w:ind w:firstLine="640" w:firstLineChars="200"/>
        <w:rPr>
          <w:rFonts w:hint="eastAsia" w:ascii="仿宋" w:hAnsi="仿宋" w:eastAsia="仿宋" w:cs="仿宋"/>
          <w:sz w:val="32"/>
          <w:szCs w:val="32"/>
        </w:rPr>
      </w:pPr>
    </w:p>
    <w:p w14:paraId="3237C359">
      <w:pPr>
        <w:ind w:firstLine="640" w:firstLineChars="200"/>
        <w:rPr>
          <w:rFonts w:hint="eastAsia" w:ascii="仿宋" w:hAnsi="仿宋" w:eastAsia="仿宋" w:cs="仿宋"/>
          <w:sz w:val="32"/>
          <w:szCs w:val="32"/>
        </w:rPr>
      </w:pPr>
      <w:r>
        <w:rPr>
          <w:rFonts w:hint="eastAsia" w:ascii="仿宋" w:hAnsi="仿宋" w:eastAsia="仿宋" w:cs="仿宋"/>
          <w:sz w:val="32"/>
          <w:szCs w:val="32"/>
        </w:rPr>
        <w:t>采购办将根据采购邀请中规定的递交文件截止时间前接受供应商响应文件，并按以下程序组织采购：</w:t>
      </w:r>
    </w:p>
    <w:p w14:paraId="69C9E166">
      <w:pPr>
        <w:ind w:firstLine="640" w:firstLineChars="200"/>
        <w:rPr>
          <w:rFonts w:hint="eastAsia" w:ascii="仿宋" w:hAnsi="仿宋" w:eastAsia="仿宋" w:cs="仿宋"/>
          <w:sz w:val="32"/>
          <w:szCs w:val="32"/>
        </w:rPr>
      </w:pPr>
      <w:r>
        <w:rPr>
          <w:rFonts w:hint="eastAsia" w:ascii="仿宋" w:hAnsi="仿宋" w:eastAsia="仿宋" w:cs="仿宋"/>
          <w:sz w:val="32"/>
          <w:szCs w:val="32"/>
        </w:rPr>
        <w:t>一、组织采购评审对供应商递交的响应文件进行资格审查和符合性审查。</w:t>
      </w:r>
    </w:p>
    <w:p w14:paraId="04BEFE3E">
      <w:pPr>
        <w:ind w:firstLine="640" w:firstLineChars="200"/>
        <w:rPr>
          <w:rFonts w:hint="eastAsia" w:ascii="仿宋" w:hAnsi="仿宋" w:eastAsia="仿宋" w:cs="仿宋"/>
          <w:color w:val="000000"/>
          <w:sz w:val="32"/>
          <w:szCs w:val="32"/>
        </w:rPr>
      </w:pPr>
      <w:r>
        <w:rPr>
          <w:rFonts w:hint="eastAsia" w:ascii="仿宋" w:hAnsi="仿宋" w:eastAsia="仿宋" w:cs="仿宋"/>
          <w:sz w:val="32"/>
          <w:szCs w:val="32"/>
        </w:rPr>
        <w:t>二、</w:t>
      </w:r>
      <w:r>
        <w:rPr>
          <w:rFonts w:hint="eastAsia" w:ascii="仿宋" w:hAnsi="仿宋" w:eastAsia="仿宋" w:cs="仿宋"/>
          <w:color w:val="000000"/>
          <w:sz w:val="32"/>
          <w:szCs w:val="32"/>
        </w:rPr>
        <w:t>通过资格审查和符合性审查供应商数量不足三家的，本次采购活动终止。</w:t>
      </w:r>
    </w:p>
    <w:p w14:paraId="2B021763">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出现但不限于下列情况之一的，其响应文件将被视为无效文件不予通过资格审查和符合性审查：</w:t>
      </w:r>
    </w:p>
    <w:p w14:paraId="294094D6">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1.资格不符合要求的；</w:t>
      </w:r>
    </w:p>
    <w:p w14:paraId="3336EB3B">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2.响应文件未实质性响应采购文件要求的；</w:t>
      </w:r>
    </w:p>
    <w:p w14:paraId="34971A11">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3.响应文件无法定代表人签字，或签字人未被法定代表人授权的；</w:t>
      </w:r>
    </w:p>
    <w:p w14:paraId="6C5EC566">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4.所报总价超出项目预算且无法支付的；</w:t>
      </w:r>
    </w:p>
    <w:p w14:paraId="6B60FCA8">
      <w:pPr>
        <w:ind w:firstLine="640" w:firstLineChars="200"/>
        <w:rPr>
          <w:rFonts w:hint="eastAsia" w:ascii="仿宋" w:hAnsi="仿宋" w:eastAsia="仿宋" w:cs="仿宋"/>
          <w:kern w:val="0"/>
          <w:sz w:val="32"/>
          <w:szCs w:val="32"/>
        </w:rPr>
      </w:pPr>
      <w:r>
        <w:rPr>
          <w:rFonts w:hint="eastAsia" w:ascii="仿宋" w:hAnsi="仿宋" w:eastAsia="仿宋" w:cs="仿宋"/>
          <w:color w:val="000000"/>
          <w:sz w:val="32"/>
          <w:szCs w:val="32"/>
        </w:rPr>
        <w:t>5.不同</w:t>
      </w:r>
      <w:r>
        <w:rPr>
          <w:rFonts w:hint="eastAsia" w:ascii="仿宋" w:hAnsi="仿宋" w:eastAsia="仿宋" w:cs="仿宋"/>
          <w:kern w:val="0"/>
          <w:sz w:val="32"/>
          <w:szCs w:val="32"/>
        </w:rPr>
        <w:t>供应商负责人为同一人或者存在直接控股、管理关系的；</w:t>
      </w:r>
    </w:p>
    <w:p w14:paraId="4A0F46D0">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6.负偏离。</w:t>
      </w:r>
    </w:p>
    <w:p w14:paraId="5F8399A0">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三、在采购中，采购的任何一方不得透露与采购有关的其他供应商的技术资料、价格和其他信息。采购轮次一般为一轮（评审小组可根据采购情况调整轮次）。如供应商在采购过程中存在违法、违纪行为，评审小组将不允许其参加最后报价。采购结束后，评审小组要求供应商现场进行最终报价填报后，评审小组根据符合采购需求、质量和服务相等且综合评分最高的原则推荐成交候选供应商，由采购人授权评审小组确认成交供应商，采购办于2个工作日内在乐山市五通桥区人民医院网上公告成交结果。</w:t>
      </w:r>
    </w:p>
    <w:p w14:paraId="1257B3FB">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四、成交标准：按采购最终报价为依据（未组织二次报价的，以报价响应文件中的报价为依据），体现满足采购项目要求,且综合评分最高原则确定成交供应商。</w:t>
      </w:r>
    </w:p>
    <w:p w14:paraId="16C59063">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采用最低评标价法的采购项目，提供相同品牌产品的不同投标人参加同一合同项下投标的，以其中通过资格审查、符合性审查且报价最低的参加评标；报价相同的，由采购人组织评标小组按照采取随机抽取方式确定第一候选人，其他投标无效。</w:t>
      </w:r>
    </w:p>
    <w:p w14:paraId="685AF998">
      <w:pPr>
        <w:ind w:firstLine="640" w:firstLineChars="200"/>
        <w:jc w:val="left"/>
        <w:rPr>
          <w:rFonts w:eastAsia="仿宋"/>
        </w:rPr>
      </w:pPr>
      <w:r>
        <w:rPr>
          <w:rFonts w:hint="eastAsia" w:ascii="仿宋" w:hAnsi="仿宋" w:eastAsia="仿宋" w:cs="仿宋"/>
          <w:color w:val="000000"/>
          <w:sz w:val="32"/>
          <w:szCs w:val="32"/>
        </w:rPr>
        <w:t>采用综合评分法的采购项目，提供相同品牌产品且通过资格审查、符合性审查的不同投标人参加同一合同项下投标的，按一家投标人计算，评审后得分最高的同品牌投标人获得中标人推荐资格；评审得分相同的，则价格最低的供应商确定第一候选人。价格也相同时，由采购人组织评标小组按照采取随机抽取方式确定第一候选人，其他投标无效。</w:t>
      </w:r>
    </w:p>
    <w:p w14:paraId="0323A4CC">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五、院内采购评审小组的组建。评审小组依法由三人及以上单数组成。</w:t>
      </w:r>
    </w:p>
    <w:p w14:paraId="2C69530A">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六、低于成本价不正当竞争预防措施</w:t>
      </w:r>
    </w:p>
    <w:p w14:paraId="1887DD05">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在评审过程中，供应商报价明显低于其他有效供应商报价，有可能影响产品质量或者不能诚信履约的，采购小组应当要求其在半小时内提供书面说明，并提交相关证明材料，供应商不能证明其报价合理性的，采购小组应当将其作为无效处理。</w:t>
      </w:r>
    </w:p>
    <w:p w14:paraId="1AD37512">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供应商的书面说明材料应当按照国家财务会计制度的规定要求，逐项就供应商提供的货物、工程和服务的主营业务成本、税金及附加、销售费用、管理费用、财务费用等成本构成事项详细陈述。</w:t>
      </w:r>
    </w:p>
    <w:p w14:paraId="138C0AEE">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2.供应商书面说明应当签字确认或者加盖公章，否则无效。书面说明的签字确认，由其法定代表人/主要负责人/本人或者其授权代表签字确认。</w:t>
      </w:r>
    </w:p>
    <w:p w14:paraId="46571EFE">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3.供应商提供书面说明后，采购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采购小组应当将其响应文件作为无效处理。</w:t>
      </w:r>
    </w:p>
    <w:p w14:paraId="6385389B">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七、采购工作纪律和注意事项。在采购活动中，供应商、评审成员、组织采购工作的有关工作人员应严格遵守相关纪律规定，注意以下事项：</w:t>
      </w:r>
    </w:p>
    <w:p w14:paraId="297E3B2D">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1.不得泄露采购活动在应当保密的情况和资料，不得与供应商串通损害国家利益、社会公共利益或者他人合法权益。</w:t>
      </w:r>
    </w:p>
    <w:p w14:paraId="0038F1E1">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2.供应商不得相互串通报价；不得向评审成员行贿谋取成交；不得以他人名义或者其他方式弄虚作假骗取成交；不得以任何方式干扰、影响采购活动。</w:t>
      </w:r>
    </w:p>
    <w:p w14:paraId="6C7B696B">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3.评审成员不得收受他人财物或者其他好处，不得向他人透露采购活动中的各个细节和标准情况。在采购活动中，不得擅离职守，影响采购活动的进行，不得使用本采购文件规定以外的因素和标准进行评审、比较。</w:t>
      </w:r>
    </w:p>
    <w:p w14:paraId="7A5CA275">
      <w:pPr>
        <w:ind w:firstLine="640" w:firstLineChars="200"/>
        <w:rPr>
          <w:rFonts w:hint="eastAsia" w:ascii="宋体" w:hAnsi="宋体"/>
          <w:color w:val="000000"/>
          <w:sz w:val="24"/>
        </w:rPr>
      </w:pPr>
      <w:r>
        <w:rPr>
          <w:rFonts w:hint="eastAsia" w:ascii="仿宋" w:hAnsi="仿宋" w:eastAsia="仿宋" w:cs="仿宋"/>
          <w:color w:val="000000"/>
          <w:sz w:val="32"/>
          <w:szCs w:val="32"/>
        </w:rPr>
        <w:t>4.组织采购的工作人员不得收受他人的财物或者其他好处，不得向他人透露采购活动中各有关细节及推荐评审情况。在采购活动中不得擅离职守，影响采购活动的正常进行。</w:t>
      </w:r>
    </w:p>
    <w:p w14:paraId="575879D1">
      <w:pPr>
        <w:pStyle w:val="7"/>
        <w:ind w:left="0" w:leftChars="0"/>
        <w:rPr>
          <w:rFonts w:hint="eastAsia" w:ascii="黑体" w:hAnsi="黑体" w:eastAsia="黑体" w:cs="黑体"/>
        </w:rPr>
      </w:pPr>
    </w:p>
    <w:p w14:paraId="219022B7">
      <w:pPr>
        <w:rPr>
          <w:rFonts w:hint="eastAsia" w:ascii="黑体" w:hAnsi="黑体" w:eastAsia="黑体" w:cs="黑体"/>
        </w:rPr>
      </w:pPr>
    </w:p>
    <w:p w14:paraId="6B925AE5">
      <w:pPr>
        <w:widowControl/>
        <w:jc w:val="left"/>
        <w:rPr>
          <w:rFonts w:hint="eastAsia" w:ascii="黑体" w:hAnsi="黑体" w:eastAsia="黑体" w:cs="黑体"/>
          <w:b/>
          <w:sz w:val="48"/>
          <w:szCs w:val="48"/>
        </w:rPr>
      </w:pPr>
      <w:r>
        <w:rPr>
          <w:rFonts w:hint="eastAsia" w:ascii="黑体" w:hAnsi="黑体" w:eastAsia="黑体" w:cs="黑体"/>
          <w:b/>
          <w:sz w:val="48"/>
          <w:szCs w:val="48"/>
        </w:rPr>
        <w:br w:type="page"/>
      </w:r>
    </w:p>
    <w:p w14:paraId="3804D07F">
      <w:pPr>
        <w:spacing w:line="360" w:lineRule="auto"/>
        <w:jc w:val="center"/>
        <w:rPr>
          <w:rFonts w:hint="eastAsia" w:ascii="黑体" w:hAnsi="黑体" w:eastAsia="黑体" w:cs="黑体"/>
          <w:b/>
          <w:sz w:val="48"/>
          <w:szCs w:val="48"/>
        </w:rPr>
      </w:pPr>
      <w:r>
        <w:rPr>
          <w:rFonts w:hint="eastAsia" w:ascii="黑体" w:hAnsi="黑体" w:eastAsia="黑体" w:cs="黑体"/>
          <w:b/>
          <w:sz w:val="48"/>
          <w:szCs w:val="48"/>
        </w:rPr>
        <w:t>乐山市五通桥区人民医院采购项目</w:t>
      </w:r>
    </w:p>
    <w:p w14:paraId="67719C88">
      <w:pPr>
        <w:spacing w:line="400" w:lineRule="exact"/>
        <w:ind w:firstLine="4897" w:firstLineChars="583"/>
        <w:rPr>
          <w:rFonts w:hint="eastAsia" w:ascii="黑体" w:hAnsi="黑体" w:eastAsia="黑体" w:cs="黑体"/>
          <w:sz w:val="84"/>
          <w:szCs w:val="84"/>
        </w:rPr>
      </w:pPr>
    </w:p>
    <w:p w14:paraId="0207EA0E">
      <w:pPr>
        <w:pStyle w:val="5"/>
        <w:jc w:val="center"/>
        <w:rPr>
          <w:rFonts w:hint="eastAsia" w:ascii="黑体" w:hAnsi="黑体" w:eastAsia="黑体" w:cs="黑体"/>
          <w:sz w:val="44"/>
          <w:szCs w:val="44"/>
        </w:rPr>
      </w:pPr>
      <w:r>
        <w:rPr>
          <w:rFonts w:hint="eastAsia" w:ascii="黑体" w:hAnsi="黑体" w:eastAsia="黑体" w:cs="黑体"/>
          <w:sz w:val="44"/>
          <w:szCs w:val="44"/>
        </w:rPr>
        <w:t>院内采购文件</w:t>
      </w:r>
    </w:p>
    <w:p w14:paraId="72C82F41">
      <w:pPr>
        <w:rPr>
          <w:rFonts w:hint="eastAsia" w:ascii="黑体" w:hAnsi="黑体" w:eastAsia="黑体" w:cs="黑体"/>
          <w:sz w:val="84"/>
          <w:szCs w:val="84"/>
        </w:rPr>
      </w:pPr>
    </w:p>
    <w:p w14:paraId="19A7776A">
      <w:pPr>
        <w:pStyle w:val="5"/>
        <w:rPr>
          <w:rFonts w:hint="eastAsia" w:ascii="黑体" w:hAnsi="黑体" w:eastAsia="黑体" w:cs="黑体"/>
        </w:rPr>
      </w:pPr>
    </w:p>
    <w:p w14:paraId="7DE84459">
      <w:pPr>
        <w:spacing w:line="400" w:lineRule="exact"/>
        <w:ind w:firstLine="4897" w:firstLineChars="583"/>
        <w:rPr>
          <w:rFonts w:hint="eastAsia" w:ascii="黑体" w:hAnsi="黑体" w:eastAsia="黑体" w:cs="黑体"/>
          <w:sz w:val="84"/>
          <w:szCs w:val="84"/>
        </w:rPr>
      </w:pPr>
    </w:p>
    <w:p w14:paraId="616AFD55">
      <w:pPr>
        <w:spacing w:line="400" w:lineRule="exact"/>
        <w:ind w:firstLine="4897" w:firstLineChars="583"/>
        <w:rPr>
          <w:rFonts w:hint="eastAsia" w:ascii="黑体" w:hAnsi="黑体" w:eastAsia="黑体" w:cs="黑体"/>
          <w:sz w:val="84"/>
          <w:szCs w:val="84"/>
        </w:rPr>
      </w:pPr>
    </w:p>
    <w:p w14:paraId="5003B7B3">
      <w:pPr>
        <w:spacing w:line="400" w:lineRule="exact"/>
        <w:rPr>
          <w:rFonts w:hint="eastAsia" w:ascii="黑体" w:hAnsi="黑体" w:eastAsia="黑体" w:cs="黑体"/>
          <w:b/>
          <w:bCs/>
          <w:sz w:val="30"/>
          <w:szCs w:val="30"/>
        </w:rPr>
      </w:pPr>
    </w:p>
    <w:p w14:paraId="3997B022">
      <w:pPr>
        <w:spacing w:line="360" w:lineRule="auto"/>
        <w:rPr>
          <w:rFonts w:hint="eastAsia" w:ascii="黑体" w:hAnsi="黑体" w:eastAsia="黑体" w:cs="黑体"/>
          <w:b/>
          <w:sz w:val="32"/>
          <w:szCs w:val="32"/>
          <w:u w:val="single"/>
        </w:rPr>
      </w:pPr>
      <w:r>
        <w:rPr>
          <w:rFonts w:hint="eastAsia" w:ascii="黑体" w:hAnsi="黑体" w:eastAsia="黑体" w:cs="黑体"/>
          <w:b/>
          <w:bCs/>
          <w:sz w:val="32"/>
          <w:szCs w:val="32"/>
        </w:rPr>
        <w:t>项目名称：</w:t>
      </w:r>
      <w:r>
        <w:rPr>
          <w:rFonts w:hint="eastAsia" w:ascii="黑体" w:hAnsi="黑体" w:eastAsia="黑体" w:cs="黑体"/>
          <w:b/>
          <w:sz w:val="32"/>
          <w:szCs w:val="32"/>
          <w:u w:val="single"/>
        </w:rPr>
        <w:t xml:space="preserve">                               </w:t>
      </w:r>
    </w:p>
    <w:p w14:paraId="2DB41357">
      <w:pPr>
        <w:spacing w:line="360" w:lineRule="auto"/>
        <w:rPr>
          <w:rFonts w:hint="eastAsia" w:ascii="黑体" w:hAnsi="黑体" w:eastAsia="黑体" w:cs="黑体"/>
          <w:b/>
          <w:sz w:val="32"/>
          <w:szCs w:val="32"/>
          <w:u w:val="single"/>
        </w:rPr>
      </w:pPr>
      <w:r>
        <w:rPr>
          <w:rFonts w:hint="eastAsia" w:ascii="黑体" w:hAnsi="黑体" w:eastAsia="黑体" w:cs="黑体"/>
          <w:b/>
          <w:bCs/>
          <w:sz w:val="32"/>
          <w:szCs w:val="32"/>
        </w:rPr>
        <w:t>项目编号：</w:t>
      </w:r>
      <w:r>
        <w:rPr>
          <w:rFonts w:hint="eastAsia" w:ascii="黑体" w:hAnsi="黑体" w:eastAsia="黑体" w:cs="黑体"/>
          <w:b/>
          <w:sz w:val="32"/>
          <w:szCs w:val="32"/>
          <w:u w:val="single"/>
        </w:rPr>
        <w:t xml:space="preserve">                            </w:t>
      </w:r>
    </w:p>
    <w:p w14:paraId="07C45A8A">
      <w:pPr>
        <w:spacing w:line="360" w:lineRule="auto"/>
        <w:rPr>
          <w:rFonts w:hint="eastAsia" w:ascii="黑体" w:hAnsi="黑体" w:eastAsia="黑体" w:cs="黑体"/>
          <w:b/>
          <w:bCs/>
          <w:sz w:val="32"/>
          <w:szCs w:val="32"/>
          <w:u w:val="single"/>
        </w:rPr>
      </w:pPr>
      <w:r>
        <w:rPr>
          <w:rFonts w:hint="eastAsia" w:ascii="黑体" w:hAnsi="黑体" w:eastAsia="黑体" w:cs="黑体"/>
          <w:b/>
          <w:bCs/>
          <w:sz w:val="32"/>
          <w:szCs w:val="32"/>
        </w:rPr>
        <w:t>供应商名称</w:t>
      </w:r>
      <w:r>
        <w:rPr>
          <w:rFonts w:hint="eastAsia" w:ascii="黑体" w:hAnsi="黑体" w:eastAsia="黑体" w:cs="黑体"/>
          <w:b/>
          <w:sz w:val="32"/>
          <w:szCs w:val="32"/>
        </w:rPr>
        <w:t xml:space="preserve">： </w:t>
      </w:r>
      <w:r>
        <w:rPr>
          <w:rFonts w:hint="eastAsia" w:ascii="黑体" w:hAnsi="黑体" w:eastAsia="黑体" w:cs="黑体"/>
          <w:sz w:val="32"/>
          <w:szCs w:val="32"/>
          <w:u w:val="single"/>
        </w:rPr>
        <w:t xml:space="preserve">                          </w:t>
      </w:r>
      <w:r>
        <w:rPr>
          <w:rFonts w:hint="eastAsia" w:ascii="黑体" w:hAnsi="黑体" w:eastAsia="黑体" w:cs="黑体"/>
          <w:b/>
          <w:bCs/>
          <w:sz w:val="32"/>
          <w:szCs w:val="32"/>
        </w:rPr>
        <w:t>（盖章）</w:t>
      </w:r>
    </w:p>
    <w:p w14:paraId="2D222397">
      <w:pPr>
        <w:spacing w:line="360" w:lineRule="auto"/>
        <w:rPr>
          <w:rFonts w:hint="eastAsia" w:ascii="黑体" w:hAnsi="黑体" w:eastAsia="黑体" w:cs="黑体"/>
          <w:b/>
          <w:bCs/>
          <w:sz w:val="32"/>
          <w:szCs w:val="32"/>
        </w:rPr>
      </w:pPr>
      <w:r>
        <w:rPr>
          <w:rFonts w:hint="eastAsia" w:ascii="黑体" w:hAnsi="黑体" w:eastAsia="黑体" w:cs="黑体"/>
          <w:b/>
          <w:bCs/>
          <w:sz w:val="32"/>
          <w:szCs w:val="32"/>
        </w:rPr>
        <w:t>联系人及电话：________________________</w:t>
      </w:r>
    </w:p>
    <w:p w14:paraId="627AB544">
      <w:pPr>
        <w:spacing w:line="360" w:lineRule="auto"/>
        <w:ind w:firstLine="315" w:firstLineChars="98"/>
        <w:rPr>
          <w:rFonts w:hint="eastAsia" w:ascii="黑体" w:hAnsi="黑体" w:eastAsia="黑体" w:cs="黑体"/>
          <w:b/>
          <w:bCs/>
          <w:sz w:val="32"/>
          <w:szCs w:val="32"/>
        </w:rPr>
      </w:pPr>
    </w:p>
    <w:p w14:paraId="35BDBFAB">
      <w:pPr>
        <w:spacing w:line="360" w:lineRule="auto"/>
        <w:ind w:firstLine="3040" w:firstLineChars="950"/>
        <w:rPr>
          <w:rFonts w:hint="eastAsia" w:ascii="黑体" w:hAnsi="黑体" w:eastAsia="黑体" w:cs="黑体"/>
          <w:sz w:val="32"/>
          <w:szCs w:val="32"/>
        </w:rPr>
      </w:pPr>
      <w:r>
        <w:rPr>
          <w:rFonts w:hint="eastAsia" w:ascii="黑体" w:hAnsi="黑体" w:eastAsia="黑体" w:cs="黑体"/>
          <w:sz w:val="32"/>
          <w:szCs w:val="32"/>
          <w:u w:val="single"/>
        </w:rPr>
        <w:t xml:space="preserve">    </w:t>
      </w:r>
      <w:r>
        <w:rPr>
          <w:rFonts w:hint="eastAsia" w:ascii="黑体" w:hAnsi="黑体" w:eastAsia="黑体" w:cs="黑体"/>
          <w:sz w:val="32"/>
          <w:szCs w:val="32"/>
        </w:rPr>
        <w:t>年</w:t>
      </w:r>
      <w:r>
        <w:rPr>
          <w:rFonts w:hint="eastAsia" w:ascii="黑体" w:hAnsi="黑体" w:eastAsia="黑体" w:cs="黑体"/>
          <w:sz w:val="32"/>
          <w:szCs w:val="32"/>
          <w:u w:val="single"/>
        </w:rPr>
        <w:t xml:space="preserve">   </w:t>
      </w:r>
      <w:r>
        <w:rPr>
          <w:rFonts w:hint="eastAsia" w:ascii="黑体" w:hAnsi="黑体" w:eastAsia="黑体" w:cs="黑体"/>
          <w:sz w:val="32"/>
          <w:szCs w:val="32"/>
        </w:rPr>
        <w:t>月</w:t>
      </w:r>
      <w:r>
        <w:rPr>
          <w:rFonts w:hint="eastAsia" w:ascii="黑体" w:hAnsi="黑体" w:eastAsia="黑体" w:cs="黑体"/>
          <w:sz w:val="32"/>
          <w:szCs w:val="32"/>
          <w:u w:val="single"/>
        </w:rPr>
        <w:t xml:space="preserve">   </w:t>
      </w:r>
      <w:r>
        <w:rPr>
          <w:rFonts w:hint="eastAsia" w:ascii="黑体" w:hAnsi="黑体" w:eastAsia="黑体" w:cs="黑体"/>
          <w:sz w:val="32"/>
          <w:szCs w:val="32"/>
        </w:rPr>
        <w:t>日</w:t>
      </w:r>
    </w:p>
    <w:p w14:paraId="08C81285">
      <w:pPr>
        <w:rPr>
          <w:rFonts w:hint="eastAsia" w:ascii="黑体" w:hAnsi="黑体" w:eastAsia="黑体" w:cs="黑体"/>
          <w:b/>
          <w:bCs/>
          <w:sz w:val="32"/>
          <w:szCs w:val="32"/>
        </w:rPr>
      </w:pPr>
      <w:bookmarkStart w:id="1" w:name="_Toc18458"/>
      <w:bookmarkStart w:id="2" w:name="_Toc9490"/>
      <w:bookmarkStart w:id="3" w:name="_Toc5773"/>
      <w:bookmarkStart w:id="4" w:name="_Toc25737"/>
      <w:r>
        <w:rPr>
          <w:rFonts w:hint="eastAsia" w:ascii="黑体" w:hAnsi="黑体" w:eastAsia="黑体" w:cs="黑体"/>
          <w:b/>
          <w:bCs/>
          <w:sz w:val="32"/>
          <w:szCs w:val="32"/>
        </w:rPr>
        <w:br w:type="page"/>
      </w:r>
    </w:p>
    <w:bookmarkEnd w:id="1"/>
    <w:bookmarkEnd w:id="2"/>
    <w:bookmarkEnd w:id="3"/>
    <w:bookmarkEnd w:id="4"/>
    <w:p w14:paraId="65DE3CE2">
      <w:pPr>
        <w:jc w:val="center"/>
        <w:rPr>
          <w:rFonts w:hint="eastAsia" w:ascii="黑体" w:hAnsi="黑体" w:eastAsia="黑体" w:cs="黑体"/>
          <w:color w:val="000000"/>
          <w:spacing w:val="2"/>
          <w:sz w:val="40"/>
          <w:szCs w:val="40"/>
        </w:rPr>
      </w:pPr>
      <w:bookmarkStart w:id="5" w:name="_Toc4003"/>
      <w:bookmarkStart w:id="6" w:name="_Toc439699516"/>
      <w:bookmarkStart w:id="7" w:name="_Toc12449"/>
      <w:bookmarkStart w:id="8" w:name="_Toc17549"/>
      <w:r>
        <w:rPr>
          <w:rFonts w:hint="eastAsia" w:ascii="黑体" w:hAnsi="黑体" w:eastAsia="黑体" w:cs="黑体"/>
          <w:color w:val="000000"/>
          <w:spacing w:val="2"/>
          <w:sz w:val="40"/>
          <w:szCs w:val="40"/>
        </w:rPr>
        <w:t>承诺函</w:t>
      </w:r>
    </w:p>
    <w:p w14:paraId="6203D882">
      <w:pPr>
        <w:pStyle w:val="5"/>
        <w:rPr>
          <w:rFonts w:hint="eastAsia" w:ascii="黑体" w:hAnsi="黑体" w:eastAsia="黑体" w:cs="黑体"/>
          <w:sz w:val="28"/>
          <w:szCs w:val="28"/>
        </w:rPr>
      </w:pPr>
    </w:p>
    <w:p w14:paraId="48DE49A0">
      <w:pPr>
        <w:snapToGrid w:val="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乐山市五通桥区人民医院:</w:t>
      </w:r>
    </w:p>
    <w:p w14:paraId="739D786C">
      <w:pPr>
        <w:snapToGrid w:val="0"/>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我方作为本次采购项目的供应商，根据供应商采购文件要求，现郑重承诺如下：</w:t>
      </w:r>
    </w:p>
    <w:p w14:paraId="56272F64">
      <w:pPr>
        <w:snapToGrid w:val="0"/>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一、具备本项目规定的条件</w:t>
      </w:r>
    </w:p>
    <w:p w14:paraId="0FDF5021">
      <w:pPr>
        <w:snapToGrid w:val="0"/>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1.具有独立承担民事责任的能力；</w:t>
      </w:r>
    </w:p>
    <w:p w14:paraId="574E8A12">
      <w:pPr>
        <w:snapToGrid w:val="0"/>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2.具有良好的商业信誉和健全的财务会计制度；</w:t>
      </w:r>
    </w:p>
    <w:p w14:paraId="1105AB7C">
      <w:pPr>
        <w:snapToGrid w:val="0"/>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3.具有履行合同所必须的设备和专业技术能力；</w:t>
      </w:r>
    </w:p>
    <w:p w14:paraId="12F69ED4">
      <w:pPr>
        <w:snapToGrid w:val="0"/>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4.具有依法缴纳税收和社会保障资金的良好记录；</w:t>
      </w:r>
    </w:p>
    <w:p w14:paraId="6BF4BF35">
      <w:pPr>
        <w:snapToGrid w:val="0"/>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5.参加本次供应商采购活动前三年内，在经营活动中没有重大违法记录；</w:t>
      </w:r>
    </w:p>
    <w:p w14:paraId="4D71E647">
      <w:pPr>
        <w:snapToGrid w:val="0"/>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6.法律、行政法规规定的其他条件；</w:t>
      </w:r>
    </w:p>
    <w:p w14:paraId="0D56BDCC">
      <w:pPr>
        <w:snapToGrid w:val="0"/>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二、我方完全接受本项目供应商采购文件中规定的要求，如对供应商采购文件有异议，已经在供应商采购截止时间届满前依法进行维权，不存在对供应商采购文件有异议的同时又参加采购活动以求侥幸成交或者为实现其他非法目的的行为。</w:t>
      </w:r>
    </w:p>
    <w:p w14:paraId="60AC8655">
      <w:pPr>
        <w:snapToGrid w:val="0"/>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三、我方完全接受并认可本项目供应商采购文件中规定的要求，并通过我方的响应文件对供应商采购文件的规定要求做出了全面的积极响应，如因我方提供的响应没有完全达到或符合本项目供应商采购文件的规定要求，评审小组、本项目采购人等单位或组织按国家法律法规及供应商采购文件的规定要求做出的认定、处置行为，我方完全同意。</w:t>
      </w:r>
    </w:p>
    <w:p w14:paraId="00CA5B15">
      <w:pPr>
        <w:snapToGrid w:val="0"/>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四、我方完全尊重并认可本项目供应商采购文件中规定并赋予本项目采购人“自主采取公平、择优的方式选择”的权利，对本项目采购人选择的结果完全认同并无异议。</w:t>
      </w:r>
    </w:p>
    <w:p w14:paraId="26F48A77">
      <w:pPr>
        <w:snapToGrid w:val="0"/>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五、参加本次供应商采购活动，不存在与单位负责人为同一人或者存在直接控股、管理关系的其他供应商参与同一合同项下的供应商采购活动的行为。</w:t>
      </w:r>
    </w:p>
    <w:p w14:paraId="5C298765">
      <w:pPr>
        <w:snapToGrid w:val="0"/>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六、参加本次供应商采购活动，不存在和其他供应商在同一合同项下的供应商采购项目中，同时委托同一个自然人、同一家庭的人员、同一单位的人员作为代理人的行为。</w:t>
      </w:r>
    </w:p>
    <w:p w14:paraId="597A7CB4">
      <w:pPr>
        <w:snapToGrid w:val="0"/>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七、供应商响应文件中提供的技术、服务、商务等响应承诺情况都是真实的、有效的、合法的。</w:t>
      </w:r>
    </w:p>
    <w:p w14:paraId="763C3F3D">
      <w:pPr>
        <w:pStyle w:val="5"/>
        <w:rPr>
          <w:rFonts w:hint="eastAsia" w:ascii="仿宋" w:hAnsi="仿宋" w:eastAsia="仿宋" w:cs="仿宋"/>
          <w:sz w:val="32"/>
          <w:szCs w:val="32"/>
        </w:rPr>
      </w:pPr>
      <w:r>
        <w:rPr>
          <w:rFonts w:hint="eastAsia" w:ascii="仿宋" w:hAnsi="仿宋" w:eastAsia="仿宋" w:cs="仿宋"/>
          <w:color w:val="000000"/>
          <w:spacing w:val="2"/>
          <w:sz w:val="32"/>
          <w:szCs w:val="32"/>
        </w:rPr>
        <w:t xml:space="preserve">    八、如本项目采购过程中需要提供样品，则我公司提供的样品即为成交后将要提供的成交产品，我公司对提供样品的性能和质量负责，因样品存在缺陷或者不符合谈判文件要求导致未能成交的，我公司愿意承担相应不利后果。</w:t>
      </w:r>
    </w:p>
    <w:p w14:paraId="621E5573">
      <w:pPr>
        <w:snapToGrid w:val="0"/>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本公司对上述承诺的内容事项真实性负责。如经查实上述承诺的内容事项存在虚假，我公司愿意接受以提供虚假材料谋取成交追究法律责任。</w:t>
      </w:r>
    </w:p>
    <w:p w14:paraId="5D1D180C">
      <w:pPr>
        <w:pStyle w:val="30"/>
        <w:rPr>
          <w:rFonts w:hint="eastAsia" w:ascii="仿宋" w:hAnsi="仿宋" w:eastAsia="仿宋" w:cs="仿宋"/>
          <w:sz w:val="32"/>
          <w:szCs w:val="32"/>
        </w:rPr>
      </w:pPr>
    </w:p>
    <w:p w14:paraId="3663A804"/>
    <w:p w14:paraId="4F5AAFA0">
      <w:pPr>
        <w:snapToGrid w:val="0"/>
        <w:spacing w:line="360" w:lineRule="auto"/>
        <w:ind w:firstLine="2916" w:firstLineChars="900"/>
        <w:contextualSpacing/>
        <w:jc w:val="right"/>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供应商名称（单位公章）：XXXX</w:t>
      </w:r>
    </w:p>
    <w:p w14:paraId="4069B47F">
      <w:pPr>
        <w:snapToGrid w:val="0"/>
        <w:spacing w:line="360" w:lineRule="auto"/>
        <w:contextualSpacing/>
        <w:jc w:val="right"/>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法定代表人或授权代表（签字或加盖个人名章）：XXXX</w:t>
      </w:r>
    </w:p>
    <w:p w14:paraId="69E2D1AF">
      <w:pPr>
        <w:snapToGrid w:val="0"/>
        <w:spacing w:line="360" w:lineRule="auto"/>
        <w:ind w:firstLine="2916" w:firstLineChars="900"/>
        <w:contextualSpacing/>
        <w:jc w:val="right"/>
        <w:rPr>
          <w:rFonts w:hint="eastAsia" w:ascii="黑体" w:hAnsi="黑体" w:eastAsia="黑体" w:cs="黑体"/>
          <w:color w:val="000000"/>
          <w:spacing w:val="2"/>
          <w:sz w:val="28"/>
          <w:szCs w:val="28"/>
        </w:rPr>
      </w:pPr>
      <w:r>
        <w:rPr>
          <w:rFonts w:hint="eastAsia" w:ascii="仿宋" w:hAnsi="仿宋" w:eastAsia="仿宋" w:cs="仿宋"/>
          <w:color w:val="000000"/>
          <w:spacing w:val="2"/>
          <w:sz w:val="32"/>
          <w:szCs w:val="32"/>
        </w:rPr>
        <w:t>日期：</w:t>
      </w:r>
      <w:r>
        <w:rPr>
          <w:rFonts w:hint="eastAsia" w:ascii="仿宋" w:hAnsi="仿宋" w:eastAsia="仿宋" w:cs="仿宋"/>
          <w:sz w:val="32"/>
          <w:szCs w:val="32"/>
        </w:rPr>
        <w:t>2025年  月  日</w:t>
      </w:r>
    </w:p>
    <w:p w14:paraId="074968AF">
      <w:pPr>
        <w:pStyle w:val="5"/>
        <w:adjustRightInd w:val="0"/>
        <w:snapToGrid w:val="0"/>
        <w:spacing w:after="0" w:line="360" w:lineRule="auto"/>
        <w:ind w:firstLine="560" w:firstLineChars="200"/>
        <w:rPr>
          <w:rFonts w:hint="eastAsia" w:ascii="黑体" w:hAnsi="黑体" w:eastAsia="黑体" w:cs="黑体"/>
          <w:sz w:val="28"/>
          <w:szCs w:val="28"/>
        </w:rPr>
      </w:pPr>
    </w:p>
    <w:p w14:paraId="584EE7A2">
      <w:pPr>
        <w:pStyle w:val="5"/>
        <w:adjustRightInd w:val="0"/>
        <w:snapToGrid w:val="0"/>
        <w:spacing w:after="0" w:line="360" w:lineRule="auto"/>
        <w:ind w:firstLine="560" w:firstLineChars="200"/>
        <w:rPr>
          <w:rFonts w:hint="eastAsia" w:ascii="黑体" w:hAnsi="黑体" w:eastAsia="黑体" w:cs="黑体"/>
          <w:sz w:val="28"/>
          <w:szCs w:val="28"/>
        </w:rPr>
      </w:pPr>
    </w:p>
    <w:bookmarkEnd w:id="5"/>
    <w:bookmarkEnd w:id="6"/>
    <w:bookmarkEnd w:id="7"/>
    <w:bookmarkEnd w:id="8"/>
    <w:p w14:paraId="69AD77E4">
      <w:pPr>
        <w:spacing w:before="240" w:beforeLines="100" w:after="480" w:afterLines="200" w:line="320" w:lineRule="exact"/>
        <w:jc w:val="center"/>
        <w:rPr>
          <w:rFonts w:hint="eastAsia" w:ascii="黑体" w:hAnsi="黑体" w:eastAsia="黑体" w:cs="黑体"/>
          <w:sz w:val="40"/>
          <w:szCs w:val="40"/>
        </w:rPr>
      </w:pPr>
      <w:bookmarkStart w:id="9" w:name="_Toc12426"/>
      <w:bookmarkStart w:id="10" w:name="_Toc1800"/>
      <w:bookmarkStart w:id="11" w:name="_Toc1287"/>
      <w:bookmarkStart w:id="12" w:name="_Toc16184"/>
      <w:bookmarkStart w:id="13" w:name="_Toc24199"/>
      <w:bookmarkStart w:id="14" w:name="_Toc439699522"/>
      <w:bookmarkStart w:id="15" w:name="_Toc199"/>
      <w:r>
        <w:rPr>
          <w:rFonts w:hint="eastAsia" w:ascii="黑体" w:hAnsi="黑体" w:eastAsia="黑体" w:cs="黑体"/>
        </w:rPr>
        <w:br w:type="page"/>
      </w:r>
      <w:bookmarkEnd w:id="9"/>
      <w:bookmarkEnd w:id="10"/>
      <w:bookmarkEnd w:id="11"/>
      <w:bookmarkEnd w:id="12"/>
      <w:bookmarkEnd w:id="13"/>
      <w:bookmarkEnd w:id="14"/>
      <w:bookmarkEnd w:id="15"/>
      <w:r>
        <w:rPr>
          <w:rFonts w:hint="eastAsia" w:ascii="黑体" w:hAnsi="黑体" w:eastAsia="黑体" w:cs="黑体"/>
          <w:sz w:val="40"/>
          <w:szCs w:val="40"/>
        </w:rPr>
        <w:t>购销廉洁、诚信承诺书</w:t>
      </w:r>
    </w:p>
    <w:p w14:paraId="06F2617F">
      <w:pPr>
        <w:pStyle w:val="28"/>
        <w:spacing w:line="240" w:lineRule="auto"/>
        <w:ind w:firstLine="0"/>
        <w:rPr>
          <w:rFonts w:hint="eastAsia" w:ascii="仿宋" w:hAnsi="仿宋" w:eastAsia="仿宋" w:cs="仿宋"/>
          <w:sz w:val="32"/>
          <w:szCs w:val="32"/>
        </w:rPr>
      </w:pPr>
      <w:bookmarkStart w:id="16" w:name="_Toc5468"/>
      <w:r>
        <w:rPr>
          <w:rFonts w:hint="eastAsia" w:ascii="仿宋" w:hAnsi="仿宋" w:eastAsia="仿宋" w:cs="仿宋"/>
          <w:sz w:val="32"/>
          <w:szCs w:val="32"/>
        </w:rPr>
        <w:t>乐山市五通桥区人民医院：</w:t>
      </w:r>
    </w:p>
    <w:p w14:paraId="75297A3C">
      <w:pPr>
        <w:pStyle w:val="28"/>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为进一步加强医疗卫生行风建设，规范医疗卫生机构购销行为，有效防范商业贿赂行为，营造公平交易、诚实守信的购销环境，我公司特作出以下承诺，并严格遵守：</w:t>
      </w:r>
    </w:p>
    <w:p w14:paraId="4727D245">
      <w:pPr>
        <w:pStyle w:val="28"/>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一、本公司严格按照《民法典》及购销合同约定购销相关产品。</w:t>
      </w:r>
    </w:p>
    <w:p w14:paraId="19EFF13B">
      <w:pPr>
        <w:pStyle w:val="28"/>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二、本公司不得以任何名义和形式的回扣、宴请等方式影响医院工作人员采购或使用产品的选择权，不得向医院工作人员安排娱乐活动，以及提供现金、有价证券、支付凭证和贵重礼品，不得在学术活动中提供旅游、超标准支付食宿费用。</w:t>
      </w:r>
    </w:p>
    <w:p w14:paraId="67DC62AA">
      <w:pPr>
        <w:pStyle w:val="28"/>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三、本公司指定              （联系电话：          ）作为销售代表洽谈业务。销售代表严格在工作时间到医院指定地点联系商谈，不得到住院部、门诊部、医技科室等推销相关产品，不得借故到医院相关领导、部门负责人及相关工作人员家中访谈并提供任何好处费。</w:t>
      </w:r>
    </w:p>
    <w:p w14:paraId="3BB3FA6C">
      <w:pPr>
        <w:pStyle w:val="28"/>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四、本公司在参加甲方组织的采购活动中，坚持公开、公平、公正和诚实信用的原则，按照医院对经销商资质管理规定和报价要求，备齐所需资料，并保证投标（报价）文件中所提供的全部材料真实、有效和合法，不伪造、变造所提供的相关价格依据（如公司向省内上级或同级医院的销售发票、应税劳务清单、购销合同、公司进货发票复印件以及其它有效价格证明等），不提供虚假信息，不以弄虚作假的方式骗取中标或成交资格。</w:t>
      </w:r>
    </w:p>
    <w:p w14:paraId="2F6D966B">
      <w:pPr>
        <w:pStyle w:val="28"/>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五、本公司如违反本承诺，愿意接受医院相关处罚规定。</w:t>
      </w:r>
    </w:p>
    <w:p w14:paraId="3504B5D5">
      <w:pPr>
        <w:pStyle w:val="28"/>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供应商或厂家名称：        （盖章）</w:t>
      </w:r>
    </w:p>
    <w:p w14:paraId="7CDC0BD3">
      <w:pPr>
        <w:pStyle w:val="28"/>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法定代表人或授权代表（签字）：</w:t>
      </w:r>
    </w:p>
    <w:p w14:paraId="2643550A">
      <w:pPr>
        <w:pStyle w:val="28"/>
        <w:spacing w:line="240" w:lineRule="auto"/>
        <w:ind w:firstLine="0"/>
        <w:rPr>
          <w:rFonts w:hint="eastAsia" w:ascii="仿宋" w:hAnsi="仿宋" w:eastAsia="仿宋" w:cs="仿宋"/>
          <w:sz w:val="32"/>
          <w:szCs w:val="32"/>
        </w:rPr>
      </w:pPr>
    </w:p>
    <w:p w14:paraId="22E61771">
      <w:pPr>
        <w:pStyle w:val="28"/>
        <w:spacing w:line="240" w:lineRule="auto"/>
        <w:ind w:firstLine="0"/>
        <w:rPr>
          <w:rFonts w:hint="eastAsia" w:ascii="仿宋" w:hAnsi="仿宋" w:eastAsia="仿宋" w:cs="仿宋"/>
          <w:sz w:val="32"/>
          <w:szCs w:val="32"/>
        </w:rPr>
      </w:pPr>
    </w:p>
    <w:p w14:paraId="093CEE31">
      <w:pPr>
        <w:autoSpaceDN w:val="0"/>
        <w:ind w:firstLine="640" w:firstLineChars="200"/>
        <w:jc w:val="right"/>
        <w:rPr>
          <w:rFonts w:hint="eastAsia" w:ascii="仿宋" w:hAnsi="仿宋" w:eastAsia="仿宋" w:cs="仿宋"/>
          <w:sz w:val="32"/>
          <w:szCs w:val="32"/>
        </w:rPr>
      </w:pPr>
      <w:r>
        <w:rPr>
          <w:rFonts w:hint="eastAsia" w:ascii="仿宋" w:hAnsi="仿宋" w:eastAsia="仿宋" w:cs="仿宋"/>
          <w:sz w:val="32"/>
          <w:szCs w:val="32"/>
        </w:rPr>
        <w:t>日期：2025年  月  日</w:t>
      </w:r>
      <w:bookmarkEnd w:id="16"/>
    </w:p>
    <w:p w14:paraId="0879988D">
      <w:pPr>
        <w:rPr>
          <w:rFonts w:hint="eastAsia" w:ascii="仿宋" w:hAnsi="仿宋" w:eastAsia="仿宋" w:cs="仿宋"/>
          <w:sz w:val="32"/>
          <w:szCs w:val="32"/>
        </w:rPr>
      </w:pPr>
      <w:r>
        <w:rPr>
          <w:rFonts w:hint="eastAsia" w:ascii="仿宋" w:hAnsi="仿宋" w:eastAsia="仿宋" w:cs="仿宋"/>
          <w:sz w:val="32"/>
          <w:szCs w:val="32"/>
        </w:rPr>
        <w:br w:type="page"/>
      </w:r>
    </w:p>
    <w:p w14:paraId="06792F13">
      <w:pPr>
        <w:numPr>
          <w:ilvl w:val="0"/>
          <w:numId w:val="1"/>
        </w:numPr>
        <w:jc w:val="center"/>
        <w:rPr>
          <w:rFonts w:hint="eastAsia" w:ascii="黑体" w:hAnsi="黑体" w:eastAsia="黑体" w:cs="黑体"/>
          <w:b/>
          <w:sz w:val="36"/>
          <w:szCs w:val="36"/>
        </w:rPr>
      </w:pPr>
      <w:r>
        <w:rPr>
          <w:rFonts w:hint="eastAsia" w:ascii="黑体" w:hAnsi="黑体" w:eastAsia="黑体" w:cs="黑体"/>
          <w:b/>
          <w:sz w:val="36"/>
          <w:szCs w:val="36"/>
        </w:rPr>
        <w:t>采购资质要求</w:t>
      </w:r>
    </w:p>
    <w:p w14:paraId="3454618F">
      <w:pPr>
        <w:pStyle w:val="5"/>
        <w:rPr>
          <w:rFonts w:hint="eastAsia" w:ascii="黑体" w:hAnsi="黑体" w:eastAsia="黑体" w:cs="黑体"/>
          <w:b/>
          <w:sz w:val="36"/>
          <w:szCs w:val="36"/>
        </w:rPr>
      </w:pPr>
    </w:p>
    <w:p w14:paraId="273ED9F6">
      <w:pPr>
        <w:ind w:firstLine="640" w:firstLineChars="200"/>
        <w:rPr>
          <w:rFonts w:hint="eastAsia" w:ascii="仿宋" w:hAnsi="仿宋" w:eastAsia="仿宋" w:cs="仿宋"/>
          <w:sz w:val="32"/>
          <w:szCs w:val="32"/>
        </w:rPr>
      </w:pPr>
      <w:r>
        <w:rPr>
          <w:rFonts w:hint="eastAsia" w:ascii="仿宋" w:hAnsi="仿宋" w:eastAsia="仿宋" w:cs="仿宋"/>
          <w:sz w:val="32"/>
          <w:szCs w:val="32"/>
        </w:rPr>
        <w:t>资格性文件：供应商应当提供的资格要求的相关证明材料（缺少一项投标无效处理）</w:t>
      </w:r>
    </w:p>
    <w:tbl>
      <w:tblPr>
        <w:tblStyle w:val="17"/>
        <w:tblpPr w:leftFromText="180" w:rightFromText="180" w:vertAnchor="text" w:horzAnchor="page" w:tblpXSpec="center" w:tblpY="371"/>
        <w:tblOverlap w:val="never"/>
        <w:tblW w:w="46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5742"/>
        <w:gridCol w:w="901"/>
        <w:gridCol w:w="1477"/>
      </w:tblGrid>
      <w:tr w14:paraId="2AB26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393" w:type="pct"/>
            <w:vAlign w:val="center"/>
          </w:tcPr>
          <w:p w14:paraId="4844D472">
            <w:pPr>
              <w:snapToGrid w:val="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序号</w:t>
            </w:r>
          </w:p>
        </w:tc>
        <w:tc>
          <w:tcPr>
            <w:tcW w:w="3258" w:type="pct"/>
            <w:vAlign w:val="center"/>
          </w:tcPr>
          <w:p w14:paraId="6A733158">
            <w:pPr>
              <w:snapToGrid w:val="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审查项目</w:t>
            </w:r>
          </w:p>
        </w:tc>
        <w:tc>
          <w:tcPr>
            <w:tcW w:w="511" w:type="pct"/>
            <w:vAlign w:val="center"/>
          </w:tcPr>
          <w:p w14:paraId="5D687C3C">
            <w:pPr>
              <w:snapToGrid w:val="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合格条件</w:t>
            </w:r>
          </w:p>
        </w:tc>
        <w:tc>
          <w:tcPr>
            <w:tcW w:w="839" w:type="pct"/>
            <w:vAlign w:val="center"/>
          </w:tcPr>
          <w:p w14:paraId="730C950B">
            <w:pPr>
              <w:snapToGrid w:val="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备注</w:t>
            </w:r>
          </w:p>
        </w:tc>
      </w:tr>
      <w:tr w14:paraId="72E68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jc w:val="center"/>
        </w:trPr>
        <w:tc>
          <w:tcPr>
            <w:tcW w:w="393" w:type="pct"/>
            <w:vAlign w:val="center"/>
          </w:tcPr>
          <w:p w14:paraId="4D7CC011">
            <w:pPr>
              <w:snapToGrid w:val="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1</w:t>
            </w:r>
          </w:p>
        </w:tc>
        <w:tc>
          <w:tcPr>
            <w:tcW w:w="3258" w:type="pct"/>
            <w:vAlign w:val="center"/>
          </w:tcPr>
          <w:p w14:paraId="2ED5AC22">
            <w:pPr>
              <w:snapToGrid w:val="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 xml:space="preserve">三证（营业执照、税务登记证、组织机构代码证）副本；三证合一的只须提供营业执照副本；事业单位、社会团体提供法人登记证书复印件 </w:t>
            </w:r>
          </w:p>
        </w:tc>
        <w:tc>
          <w:tcPr>
            <w:tcW w:w="511" w:type="pct"/>
            <w:vAlign w:val="center"/>
          </w:tcPr>
          <w:p w14:paraId="71D99D01">
            <w:pPr>
              <w:snapToGrid w:val="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有效</w:t>
            </w:r>
          </w:p>
        </w:tc>
        <w:tc>
          <w:tcPr>
            <w:tcW w:w="839" w:type="pct"/>
            <w:vAlign w:val="center"/>
          </w:tcPr>
          <w:p w14:paraId="4CD9F781">
            <w:pPr>
              <w:snapToGrid w:val="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复印件加盖公章</w:t>
            </w:r>
          </w:p>
        </w:tc>
      </w:tr>
      <w:tr w14:paraId="617CF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393" w:type="pct"/>
            <w:vAlign w:val="center"/>
          </w:tcPr>
          <w:p w14:paraId="25D3D6B1">
            <w:pPr>
              <w:snapToGrid w:val="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2</w:t>
            </w:r>
          </w:p>
        </w:tc>
        <w:tc>
          <w:tcPr>
            <w:tcW w:w="3258" w:type="pct"/>
            <w:vAlign w:val="center"/>
          </w:tcPr>
          <w:p w14:paraId="3AFDF8ED">
            <w:pPr>
              <w:snapToGrid w:val="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提供承诺，购销廉洁、诚信承诺书</w:t>
            </w:r>
          </w:p>
        </w:tc>
        <w:tc>
          <w:tcPr>
            <w:tcW w:w="511" w:type="pct"/>
            <w:vAlign w:val="center"/>
          </w:tcPr>
          <w:p w14:paraId="1F3BCB5A">
            <w:pPr>
              <w:snapToGrid w:val="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有效</w:t>
            </w:r>
          </w:p>
        </w:tc>
        <w:tc>
          <w:tcPr>
            <w:tcW w:w="839" w:type="pct"/>
            <w:vAlign w:val="center"/>
          </w:tcPr>
          <w:p w14:paraId="0708B427">
            <w:pPr>
              <w:snapToGrid w:val="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盖章</w:t>
            </w:r>
          </w:p>
        </w:tc>
      </w:tr>
      <w:tr w14:paraId="0DEFD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393" w:type="pct"/>
            <w:vAlign w:val="center"/>
          </w:tcPr>
          <w:p w14:paraId="25AB2161">
            <w:pPr>
              <w:snapToGrid w:val="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3</w:t>
            </w:r>
          </w:p>
        </w:tc>
        <w:tc>
          <w:tcPr>
            <w:tcW w:w="3258" w:type="pct"/>
            <w:shd w:val="clear" w:color="auto" w:fill="auto"/>
            <w:vAlign w:val="center"/>
          </w:tcPr>
          <w:p w14:paraId="57B4985E">
            <w:pPr>
              <w:snapToGrid w:val="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法定代表人授权委托书（法定代表人参与的须提供法定代表人证明书），法定代表人和授权代表的身份证</w:t>
            </w:r>
          </w:p>
        </w:tc>
        <w:tc>
          <w:tcPr>
            <w:tcW w:w="511" w:type="pct"/>
            <w:shd w:val="clear" w:color="auto" w:fill="auto"/>
            <w:vAlign w:val="center"/>
          </w:tcPr>
          <w:p w14:paraId="082DCF71">
            <w:pPr>
              <w:snapToGrid w:val="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有效</w:t>
            </w:r>
          </w:p>
        </w:tc>
        <w:tc>
          <w:tcPr>
            <w:tcW w:w="839" w:type="pct"/>
            <w:shd w:val="clear" w:color="auto" w:fill="auto"/>
            <w:vAlign w:val="center"/>
          </w:tcPr>
          <w:p w14:paraId="08471B38">
            <w:pPr>
              <w:snapToGrid w:val="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盖章</w:t>
            </w:r>
          </w:p>
        </w:tc>
      </w:tr>
      <w:tr w14:paraId="14036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jc w:val="center"/>
        </w:trPr>
        <w:tc>
          <w:tcPr>
            <w:tcW w:w="393" w:type="pct"/>
            <w:vAlign w:val="center"/>
          </w:tcPr>
          <w:p w14:paraId="089F235E">
            <w:pPr>
              <w:snapToGrid w:val="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4</w:t>
            </w:r>
          </w:p>
        </w:tc>
        <w:tc>
          <w:tcPr>
            <w:tcW w:w="3258" w:type="pct"/>
            <w:shd w:val="clear" w:color="auto" w:fill="auto"/>
            <w:vAlign w:val="center"/>
          </w:tcPr>
          <w:p w14:paraId="50691C2E">
            <w:pPr>
              <w:snapToGrid w:val="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供应商通过“信用中国”(</w:t>
            </w:r>
            <w:r>
              <w:fldChar w:fldCharType="begin"/>
            </w:r>
            <w:r>
              <w:instrText xml:space="preserve"> HYPERLINK "http://www.creditchina.gov.cn)" </w:instrText>
            </w:r>
            <w:r>
              <w:fldChar w:fldCharType="separate"/>
            </w:r>
            <w:r>
              <w:rPr>
                <w:rFonts w:hint="eastAsia" w:ascii="仿宋" w:hAnsi="仿宋" w:eastAsia="仿宋" w:cs="仿宋"/>
                <w:color w:val="000000"/>
                <w:spacing w:val="2"/>
                <w:sz w:val="32"/>
                <w:szCs w:val="32"/>
              </w:rPr>
              <w:t>www.creditchina.gov.cn)</w:t>
            </w:r>
            <w:r>
              <w:rPr>
                <w:rFonts w:hint="eastAsia" w:ascii="仿宋" w:hAnsi="仿宋" w:eastAsia="仿宋" w:cs="仿宋"/>
                <w:color w:val="000000"/>
                <w:spacing w:val="2"/>
                <w:sz w:val="32"/>
                <w:szCs w:val="32"/>
              </w:rPr>
              <w:fldChar w:fldCharType="end"/>
            </w:r>
            <w:r>
              <w:rPr>
                <w:rFonts w:hint="eastAsia" w:ascii="仿宋" w:hAnsi="仿宋" w:eastAsia="仿宋" w:cs="仿宋"/>
                <w:color w:val="000000"/>
                <w:spacing w:val="2"/>
                <w:sz w:val="32"/>
                <w:szCs w:val="32"/>
              </w:rPr>
              <w:t>、“中国政府采购网”(www.ccgp.gov.cn)网站查询公告发布之日起前三年的信用记录，无不良记录</w:t>
            </w:r>
          </w:p>
        </w:tc>
        <w:tc>
          <w:tcPr>
            <w:tcW w:w="511" w:type="pct"/>
            <w:shd w:val="clear" w:color="auto" w:fill="auto"/>
            <w:vAlign w:val="center"/>
          </w:tcPr>
          <w:p w14:paraId="55DA0F5F">
            <w:pPr>
              <w:snapToGrid w:val="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有效</w:t>
            </w:r>
          </w:p>
        </w:tc>
        <w:tc>
          <w:tcPr>
            <w:tcW w:w="839" w:type="pct"/>
            <w:shd w:val="clear" w:color="auto" w:fill="auto"/>
            <w:vAlign w:val="center"/>
          </w:tcPr>
          <w:p w14:paraId="34B84F5D">
            <w:pPr>
              <w:snapToGrid w:val="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网页截图盖公章</w:t>
            </w:r>
          </w:p>
        </w:tc>
      </w:tr>
    </w:tbl>
    <w:p w14:paraId="39A1C594">
      <w:pPr>
        <w:pStyle w:val="5"/>
        <w:rPr>
          <w:rFonts w:hint="eastAsia" w:ascii="仿宋" w:hAnsi="仿宋" w:eastAsia="仿宋" w:cs="仿宋"/>
          <w:sz w:val="30"/>
          <w:szCs w:val="30"/>
        </w:rPr>
      </w:pPr>
    </w:p>
    <w:p w14:paraId="49DF5FB2">
      <w:pPr>
        <w:autoSpaceDN w:val="0"/>
        <w:ind w:firstLine="6560" w:firstLineChars="2050"/>
        <w:rPr>
          <w:rFonts w:hint="eastAsia" w:ascii="仿宋" w:hAnsi="仿宋" w:eastAsia="仿宋" w:cs="仿宋"/>
          <w:sz w:val="32"/>
          <w:szCs w:val="32"/>
        </w:rPr>
      </w:pPr>
    </w:p>
    <w:p w14:paraId="1AFE24A5">
      <w:pPr>
        <w:rPr>
          <w:rFonts w:hint="eastAsia" w:ascii="仿宋" w:hAnsi="仿宋" w:eastAsia="仿宋" w:cs="仿宋"/>
          <w:sz w:val="32"/>
          <w:szCs w:val="32"/>
        </w:rPr>
      </w:pPr>
      <w:r>
        <w:rPr>
          <w:rFonts w:hint="eastAsia" w:ascii="仿宋" w:hAnsi="仿宋" w:eastAsia="仿宋" w:cs="仿宋"/>
          <w:sz w:val="32"/>
          <w:szCs w:val="32"/>
        </w:rPr>
        <w:br w:type="page"/>
      </w:r>
    </w:p>
    <w:p w14:paraId="76DDDC64">
      <w:pPr>
        <w:jc w:val="center"/>
        <w:rPr>
          <w:rFonts w:hint="eastAsia" w:ascii="黑体" w:hAnsi="黑体" w:eastAsia="黑体" w:cs="黑体"/>
          <w:sz w:val="36"/>
          <w:szCs w:val="44"/>
        </w:rPr>
      </w:pPr>
      <w:r>
        <w:rPr>
          <w:rFonts w:hint="eastAsia" w:ascii="黑体" w:hAnsi="黑体" w:eastAsia="黑体" w:cs="黑体"/>
          <w:b/>
          <w:sz w:val="36"/>
          <w:szCs w:val="36"/>
        </w:rPr>
        <w:t>第五章  采购项目技术、服务及其他商务要求</w:t>
      </w:r>
    </w:p>
    <w:p w14:paraId="145755BA">
      <w:pPr>
        <w:pStyle w:val="16"/>
        <w:ind w:firstLine="0" w:firstLineChars="0"/>
        <w:rPr>
          <w:rFonts w:hint="eastAsia" w:ascii="仿宋" w:hAnsi="仿宋" w:eastAsia="仿宋" w:cs="仿宋"/>
          <w:sz w:val="32"/>
          <w:szCs w:val="32"/>
        </w:rPr>
      </w:pPr>
    </w:p>
    <w:p w14:paraId="02EDBDC9">
      <w:pPr>
        <w:pStyle w:val="16"/>
        <w:ind w:firstLine="640" w:firstLineChars="200"/>
        <w:rPr>
          <w:rFonts w:hint="eastAsia" w:ascii="仿宋" w:hAnsi="仿宋" w:eastAsia="仿宋" w:cs="仿宋"/>
          <w:sz w:val="32"/>
          <w:szCs w:val="32"/>
        </w:rPr>
      </w:pPr>
      <w:r>
        <w:rPr>
          <w:rFonts w:hint="eastAsia" w:ascii="仿宋" w:hAnsi="仿宋" w:eastAsia="仿宋" w:cs="仿宋"/>
          <w:sz w:val="32"/>
          <w:szCs w:val="32"/>
        </w:rPr>
        <w:t>项目预算：3万元</w:t>
      </w:r>
    </w:p>
    <w:p w14:paraId="059AF238">
      <w:pPr>
        <w:pStyle w:val="16"/>
        <w:ind w:firstLine="640" w:firstLineChars="200"/>
        <w:rPr>
          <w:rFonts w:hint="eastAsia" w:ascii="仿宋" w:hAnsi="仿宋" w:eastAsia="仿宋" w:cs="仿宋"/>
          <w:sz w:val="32"/>
          <w:szCs w:val="32"/>
        </w:rPr>
      </w:pPr>
      <w:r>
        <w:rPr>
          <w:rFonts w:hint="eastAsia" w:ascii="仿宋" w:hAnsi="仿宋" w:eastAsia="仿宋" w:cs="仿宋"/>
          <w:sz w:val="32"/>
          <w:szCs w:val="32"/>
        </w:rPr>
        <w:t>项目内容：</w:t>
      </w:r>
      <w:r>
        <w:rPr>
          <w:rFonts w:ascii="仿宋" w:hAnsi="仿宋" w:eastAsia="仿宋" w:cs="仿宋"/>
          <w:sz w:val="32"/>
          <w:szCs w:val="32"/>
        </w:rPr>
        <w:t>新院区前五年财务与运营效益综合测算报告服务</w:t>
      </w:r>
    </w:p>
    <w:p w14:paraId="6EE5D458">
      <w:pPr>
        <w:pStyle w:val="16"/>
        <w:ind w:firstLine="640" w:firstLineChars="200"/>
        <w:rPr>
          <w:rFonts w:hint="eastAsia" w:ascii="仿宋" w:hAnsi="仿宋" w:eastAsia="仿宋" w:cs="仿宋"/>
          <w:sz w:val="32"/>
          <w:szCs w:val="32"/>
        </w:rPr>
      </w:pPr>
      <w:r>
        <w:rPr>
          <w:rFonts w:ascii="仿宋" w:hAnsi="仿宋" w:eastAsia="仿宋" w:cs="仿宋"/>
          <w:sz w:val="32"/>
          <w:szCs w:val="32"/>
        </w:rPr>
        <w:t>为新院区提供为期五年的财务与运营效益综合测算报告服务。具体包括但不限于：数据模型构建、收入支出测算、现金流分析、盈亏平衡分析、敏感性分析、运营关键指标（KPI）设定、投资回报分析、风险评估及应对策略等，并出具专业的综合测算报告。</w:t>
      </w:r>
    </w:p>
    <w:p w14:paraId="770D986A">
      <w:pPr>
        <w:pStyle w:val="16"/>
        <w:ind w:firstLine="643" w:firstLineChars="200"/>
        <w:rPr>
          <w:rFonts w:hint="eastAsia" w:ascii="仿宋" w:hAnsi="仿宋" w:eastAsia="仿宋" w:cs="仿宋"/>
          <w:sz w:val="32"/>
          <w:szCs w:val="32"/>
        </w:rPr>
      </w:pPr>
      <w:r>
        <w:rPr>
          <w:rFonts w:hint="eastAsia" w:ascii="仿宋" w:hAnsi="仿宋" w:eastAsia="仿宋" w:cs="仿宋"/>
          <w:b/>
          <w:bCs/>
          <w:sz w:val="32"/>
          <w:szCs w:val="32"/>
        </w:rPr>
        <w:t>技术参数要求（实质性要求）</w:t>
      </w:r>
      <w:r>
        <w:rPr>
          <w:rFonts w:hint="eastAsia" w:ascii="仿宋" w:hAnsi="仿宋" w:eastAsia="仿宋" w:cs="仿宋"/>
          <w:sz w:val="32"/>
          <w:szCs w:val="32"/>
        </w:rPr>
        <w:t>：</w:t>
      </w:r>
    </w:p>
    <w:p w14:paraId="069B29AF">
      <w:pPr>
        <w:pStyle w:val="16"/>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rPr>
      </w:pPr>
      <w:r>
        <w:rPr>
          <w:rFonts w:hint="default" w:ascii="仿宋" w:hAnsi="仿宋" w:eastAsia="仿宋" w:cs="仿宋"/>
          <w:b/>
          <w:bCs/>
          <w:kern w:val="2"/>
          <w:sz w:val="32"/>
          <w:szCs w:val="32"/>
          <w:lang w:val="en-US" w:eastAsia="zh-CN" w:bidi="ar-SA"/>
        </w:rPr>
        <w:t>一、</w:t>
      </w:r>
      <w:r>
        <w:rPr>
          <w:rFonts w:hint="eastAsia" w:ascii="仿宋" w:hAnsi="仿宋" w:eastAsia="仿宋" w:cs="仿宋"/>
          <w:b/>
          <w:bCs/>
          <w:sz w:val="32"/>
          <w:szCs w:val="32"/>
        </w:rPr>
        <w:t>服务内容</w:t>
      </w:r>
    </w:p>
    <w:p w14:paraId="5DD3847F">
      <w:pPr>
        <w:pStyle w:val="16"/>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ascii="仿宋" w:hAnsi="仿宋" w:eastAsia="仿宋" w:cs="仿宋"/>
          <w:sz w:val="32"/>
          <w:szCs w:val="32"/>
        </w:rPr>
        <w:t>基础数据调研与分析：深入了解医院历史数据、当地医保政策、人口结构、市场竞争格局、收费标准等。</w:t>
      </w:r>
    </w:p>
    <w:p w14:paraId="5F687C67">
      <w:pPr>
        <w:pStyle w:val="16"/>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收入测算模型：分科室、分业务（门急诊、住院、手术、检查等）进行门诊量、住院人次、病种结构、均次费用等预测，并构建收入模型。</w:t>
      </w:r>
    </w:p>
    <w:p w14:paraId="67511A9F">
      <w:pPr>
        <w:pStyle w:val="16"/>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ascii="仿宋" w:hAnsi="仿宋" w:eastAsia="仿宋" w:cs="仿宋"/>
          <w:sz w:val="32"/>
          <w:szCs w:val="32"/>
        </w:rPr>
        <w:t>成本与费用测算模型：包括人力成本、药品及耗材成本、固定资产折旧、能源费用、管理费用、营销费用等的详细测算。</w:t>
      </w:r>
    </w:p>
    <w:p w14:paraId="2E8A5FDC">
      <w:pPr>
        <w:pStyle w:val="16"/>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ascii="仿宋" w:hAnsi="仿宋" w:eastAsia="仿宋" w:cs="仿宋"/>
          <w:sz w:val="32"/>
          <w:szCs w:val="32"/>
        </w:rPr>
        <w:t>现金流与损益预测：编制前五年的预测性现金流量表、损益表。</w:t>
      </w:r>
    </w:p>
    <w:p w14:paraId="14930FAF">
      <w:pPr>
        <w:pStyle w:val="16"/>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w:t>
      </w:r>
      <w:r>
        <w:rPr>
          <w:rFonts w:ascii="仿宋" w:hAnsi="仿宋" w:eastAsia="仿宋" w:cs="仿宋"/>
          <w:sz w:val="32"/>
          <w:szCs w:val="32"/>
        </w:rPr>
        <w:t>关键运营指标（KPI）体系设计：设定如床位使用率、平均住院日、药占比、百元医疗收入能耗等核心运营指标及其目标值。</w:t>
      </w:r>
    </w:p>
    <w:p w14:paraId="031097B1">
      <w:pPr>
        <w:pStyle w:val="16"/>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w:t>
      </w:r>
      <w:r>
        <w:rPr>
          <w:rFonts w:ascii="仿宋" w:hAnsi="仿宋" w:eastAsia="仿宋" w:cs="仿宋"/>
          <w:sz w:val="32"/>
          <w:szCs w:val="32"/>
        </w:rPr>
        <w:t>投资回报分析：计算投资回收期、净现值（NPV）、内部收益率（IRR）等。</w:t>
      </w:r>
    </w:p>
    <w:p w14:paraId="78F8C018">
      <w:pPr>
        <w:pStyle w:val="16"/>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w:t>
      </w:r>
      <w:r>
        <w:rPr>
          <w:rFonts w:ascii="仿宋" w:hAnsi="仿宋" w:eastAsia="仿宋" w:cs="仿宋"/>
          <w:sz w:val="32"/>
          <w:szCs w:val="32"/>
        </w:rPr>
        <w:t>敏感性分析与风险评估：分析关键变量（如就诊量、医保支付政策变动、重大设备故障）变动对财务结果的影响，并提出风险应对策略。</w:t>
      </w:r>
    </w:p>
    <w:p w14:paraId="1FD622B5">
      <w:pPr>
        <w:pStyle w:val="16"/>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二、商务要求：</w:t>
      </w:r>
    </w:p>
    <w:p w14:paraId="4BEFFCC5">
      <w:pPr>
        <w:pStyle w:val="16"/>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640" w:firstLineChars="200"/>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t>1、</w:t>
      </w:r>
      <w:r>
        <w:rPr>
          <w:rFonts w:hint="eastAsia" w:ascii="仿宋" w:hAnsi="仿宋" w:eastAsia="仿宋" w:cs="仿宋"/>
          <w:sz w:val="32"/>
          <w:szCs w:val="32"/>
        </w:rPr>
        <w:t>报价要求：</w:t>
      </w:r>
      <w:r>
        <w:rPr>
          <w:rFonts w:ascii="仿宋" w:hAnsi="仿宋" w:eastAsia="仿宋" w:cs="仿宋"/>
          <w:sz w:val="32"/>
          <w:szCs w:val="32"/>
        </w:rPr>
        <w:t>要求报价为一次性包干价，包含为完成本项目</w:t>
      </w:r>
    </w:p>
    <w:p w14:paraId="4483B763">
      <w:pPr>
        <w:pStyle w:val="16"/>
        <w:keepNext w:val="0"/>
        <w:keepLines w:val="0"/>
        <w:pageBreakBefore w:val="0"/>
        <w:widowControl w:val="0"/>
        <w:kinsoku/>
        <w:wordWrap/>
        <w:overflowPunct/>
        <w:topLinePunct w:val="0"/>
        <w:autoSpaceDE/>
        <w:autoSpaceDN/>
        <w:bidi w:val="0"/>
        <w:adjustRightInd/>
        <w:snapToGrid/>
        <w:spacing w:after="0"/>
        <w:ind w:left="0" w:firstLine="640" w:firstLineChars="200"/>
        <w:textAlignment w:val="auto"/>
        <w:rPr>
          <w:rFonts w:hint="eastAsia" w:ascii="仿宋" w:hAnsi="仿宋" w:eastAsia="仿宋" w:cs="仿宋"/>
          <w:sz w:val="32"/>
          <w:szCs w:val="32"/>
        </w:rPr>
      </w:pPr>
      <w:r>
        <w:rPr>
          <w:rFonts w:ascii="仿宋" w:hAnsi="仿宋" w:eastAsia="仿宋" w:cs="仿宋"/>
          <w:sz w:val="32"/>
          <w:szCs w:val="32"/>
        </w:rPr>
        <w:t>需的一切费用（如人工、交通、税费等）。报价明显过低的，需提供成本构成说明，以防恶意低价竞标。</w:t>
      </w:r>
    </w:p>
    <w:p w14:paraId="05345772">
      <w:pPr>
        <w:pStyle w:val="16"/>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640" w:firstLineChars="200"/>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t>2、</w:t>
      </w:r>
      <w:r>
        <w:rPr>
          <w:rFonts w:hint="eastAsia" w:ascii="仿宋" w:hAnsi="仿宋" w:eastAsia="仿宋" w:cs="仿宋"/>
          <w:sz w:val="32"/>
          <w:szCs w:val="32"/>
        </w:rPr>
        <w:t>服务要求：</w:t>
      </w:r>
      <w:r>
        <w:rPr>
          <w:rFonts w:ascii="仿宋" w:hAnsi="仿宋" w:eastAsia="仿宋" w:cs="仿宋"/>
          <w:sz w:val="32"/>
          <w:szCs w:val="32"/>
        </w:rPr>
        <w:t>形成一套科学、可靠、可动态调整的五年期财务与运营测算模型和报告，为医院决策、资源配置和绩效管理提供核心依据。</w:t>
      </w:r>
      <w:r>
        <w:rPr>
          <w:rFonts w:hint="eastAsia" w:ascii="仿宋" w:hAnsi="仿宋" w:eastAsia="仿宋" w:cs="仿宋"/>
          <w:sz w:val="32"/>
          <w:szCs w:val="32"/>
        </w:rPr>
        <w:t>交付</w:t>
      </w:r>
      <w:r>
        <w:rPr>
          <w:rFonts w:ascii="仿宋" w:hAnsi="仿宋" w:eastAsia="仿宋" w:cs="仿宋"/>
          <w:sz w:val="32"/>
          <w:szCs w:val="32"/>
        </w:rPr>
        <w:t>《</w:t>
      </w:r>
      <w:r>
        <w:rPr>
          <w:rFonts w:hint="eastAsia" w:ascii="仿宋" w:hAnsi="仿宋" w:eastAsia="仿宋" w:cs="仿宋"/>
          <w:sz w:val="32"/>
          <w:szCs w:val="32"/>
        </w:rPr>
        <w:t>乐山市五通桥区人民医院</w:t>
      </w:r>
      <w:r>
        <w:rPr>
          <w:rFonts w:ascii="仿宋" w:hAnsi="仿宋" w:eastAsia="仿宋" w:cs="仿宋"/>
          <w:sz w:val="32"/>
          <w:szCs w:val="32"/>
        </w:rPr>
        <w:t>区五年财务与运营效益综合测算报告》（终稿及过程稿）。完整的、可编辑的财务预测模型（如Excel模型）。所有用于测算的原始数据、假设说明及参考文献汇编。</w:t>
      </w:r>
    </w:p>
    <w:p w14:paraId="5E02405A">
      <w:pPr>
        <w:pStyle w:val="16"/>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640" w:firstLineChars="200"/>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t>3、</w:t>
      </w:r>
      <w:r>
        <w:rPr>
          <w:rFonts w:hint="eastAsia" w:ascii="仿宋" w:hAnsi="仿宋" w:eastAsia="仿宋" w:cs="仿宋"/>
          <w:sz w:val="32"/>
          <w:szCs w:val="32"/>
        </w:rPr>
        <w:t>履约要求：</w:t>
      </w:r>
      <w:r>
        <w:rPr>
          <w:rFonts w:ascii="仿宋" w:hAnsi="仿宋" w:eastAsia="仿宋" w:cs="仿宋"/>
          <w:sz w:val="32"/>
          <w:szCs w:val="32"/>
        </w:rPr>
        <w:t>合同签订后</w:t>
      </w:r>
      <w:r>
        <w:rPr>
          <w:rFonts w:hint="eastAsia" w:ascii="仿宋" w:hAnsi="仿宋" w:eastAsia="仿宋" w:cs="仿宋"/>
          <w:sz w:val="32"/>
          <w:szCs w:val="32"/>
        </w:rPr>
        <w:t>20个日历天</w:t>
      </w:r>
    </w:p>
    <w:p w14:paraId="7FC85903">
      <w:pPr>
        <w:pStyle w:val="16"/>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640" w:firstLineChars="200"/>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t>4、</w:t>
      </w:r>
      <w:r>
        <w:rPr>
          <w:rFonts w:hint="eastAsia" w:ascii="仿宋" w:hAnsi="仿宋" w:eastAsia="仿宋" w:cs="仿宋"/>
          <w:sz w:val="32"/>
          <w:szCs w:val="32"/>
        </w:rPr>
        <w:t>付款方式：验收全部的交付物合格并收到票据后30个日历天内支付全款。</w:t>
      </w:r>
    </w:p>
    <w:p w14:paraId="30F06726">
      <w:pPr>
        <w:pStyle w:val="16"/>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640" w:firstLineChars="200"/>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t>5、</w:t>
      </w:r>
      <w:r>
        <w:rPr>
          <w:rFonts w:hint="eastAsia" w:ascii="仿宋" w:hAnsi="仿宋" w:eastAsia="仿宋" w:cs="仿宋"/>
          <w:sz w:val="32"/>
          <w:szCs w:val="32"/>
        </w:rPr>
        <w:t>知识产权：属于甲方</w:t>
      </w:r>
    </w:p>
    <w:p w14:paraId="6EF21220">
      <w:pPr>
        <w:pStyle w:val="16"/>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640" w:firstLineChars="200"/>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t>6、</w:t>
      </w:r>
      <w:r>
        <w:rPr>
          <w:rFonts w:hint="eastAsia" w:ascii="仿宋" w:hAnsi="仿宋" w:eastAsia="仿宋" w:cs="仿宋"/>
          <w:sz w:val="32"/>
          <w:szCs w:val="32"/>
        </w:rPr>
        <w:t>售后要求：</w:t>
      </w:r>
      <w:r>
        <w:rPr>
          <w:rFonts w:ascii="仿宋" w:hAnsi="仿宋" w:eastAsia="仿宋" w:cs="仿宋"/>
          <w:sz w:val="32"/>
          <w:szCs w:val="32"/>
        </w:rPr>
        <w:t>提供报告交付后[如6个月]的免费咨询和模型微调服务</w:t>
      </w:r>
      <w:r>
        <w:rPr>
          <w:rFonts w:hint="eastAsia" w:ascii="仿宋" w:hAnsi="仿宋" w:eastAsia="仿宋" w:cs="仿宋"/>
          <w:sz w:val="32"/>
          <w:szCs w:val="32"/>
        </w:rPr>
        <w:t>，</w:t>
      </w:r>
      <w:r>
        <w:rPr>
          <w:rFonts w:ascii="仿宋" w:hAnsi="仿宋" w:eastAsia="仿宋" w:cs="仿宋"/>
          <w:sz w:val="32"/>
          <w:szCs w:val="32"/>
        </w:rPr>
        <w:t>对医院相关使用人员进行一次模型使用和报告解读的培训</w:t>
      </w:r>
      <w:r>
        <w:rPr>
          <w:rFonts w:hint="eastAsia" w:ascii="仿宋" w:hAnsi="仿宋" w:eastAsia="仿宋" w:cs="仿宋"/>
          <w:sz w:val="32"/>
          <w:szCs w:val="32"/>
        </w:rPr>
        <w:t>。</w:t>
      </w:r>
    </w:p>
    <w:p w14:paraId="0FE86E5A">
      <w:pPr>
        <w:pStyle w:val="16"/>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640" w:firstLineChars="200"/>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t>7、</w:t>
      </w:r>
      <w:r>
        <w:rPr>
          <w:rFonts w:hint="eastAsia" w:ascii="仿宋" w:hAnsi="仿宋" w:eastAsia="仿宋" w:cs="仿宋"/>
          <w:sz w:val="32"/>
          <w:szCs w:val="32"/>
        </w:rPr>
        <w:t>违约责任及解决争议的方法：合同履行期间，若双方发生争议，可协商或由有关部门协调解决，协商或协调不成功的，双方均可向五通桥区人民法院提起诉讼依法维护其合法权益。</w:t>
      </w:r>
    </w:p>
    <w:p w14:paraId="689F018A">
      <w:pPr>
        <w:rPr>
          <w:rFonts w:hint="eastAsia" w:ascii="黑体" w:hAnsi="黑体" w:eastAsia="黑体" w:cs="黑体"/>
        </w:rPr>
      </w:pPr>
    </w:p>
    <w:p w14:paraId="13E6B1D2">
      <w:pPr>
        <w:pStyle w:val="3"/>
        <w:rPr>
          <w:rFonts w:hint="eastAsia" w:ascii="黑体" w:hAnsi="黑体" w:eastAsia="黑体" w:cs="黑体"/>
        </w:rPr>
      </w:pPr>
    </w:p>
    <w:p w14:paraId="115649E9">
      <w:pPr>
        <w:rPr>
          <w:rFonts w:hint="eastAsia" w:ascii="黑体" w:hAnsi="黑体" w:eastAsia="黑体" w:cs="黑体"/>
        </w:rPr>
      </w:pPr>
      <w:r>
        <w:rPr>
          <w:rFonts w:hint="eastAsia" w:ascii="黑体" w:hAnsi="黑体" w:eastAsia="黑体" w:cs="黑体"/>
        </w:rPr>
        <w:br w:type="page"/>
      </w:r>
    </w:p>
    <w:p w14:paraId="2CFD8EEB">
      <w:pPr>
        <w:pStyle w:val="16"/>
        <w:ind w:firstLine="210"/>
        <w:rPr>
          <w:rFonts w:hint="eastAsia" w:ascii="黑体" w:hAnsi="黑体" w:eastAsia="黑体" w:cs="黑体"/>
        </w:rPr>
      </w:pPr>
    </w:p>
    <w:p w14:paraId="482853C1">
      <w:pPr>
        <w:pStyle w:val="5"/>
        <w:rPr>
          <w:rFonts w:hint="eastAsia" w:ascii="黑体" w:hAnsi="黑体" w:eastAsia="黑体" w:cs="黑体"/>
        </w:rPr>
      </w:pPr>
      <w:r>
        <w:rPr>
          <w:rFonts w:hint="eastAsia" w:ascii="黑体" w:hAnsi="黑体" w:eastAsia="黑体" w:cs="黑体"/>
          <w:sz w:val="32"/>
          <w:szCs w:val="40"/>
        </w:rPr>
        <w:t>评分标准</w:t>
      </w:r>
      <w:r>
        <w:rPr>
          <w:rFonts w:hint="eastAsia" w:ascii="黑体" w:hAnsi="黑体" w:eastAsia="黑体" w:cs="黑体"/>
        </w:rPr>
        <w:t>：</w:t>
      </w:r>
    </w:p>
    <w:tbl>
      <w:tblPr>
        <w:tblStyle w:val="17"/>
        <w:tblW w:w="8998" w:type="dxa"/>
        <w:jc w:val="center"/>
        <w:tblLayout w:type="fixed"/>
        <w:tblCellMar>
          <w:top w:w="0" w:type="dxa"/>
          <w:left w:w="108" w:type="dxa"/>
          <w:bottom w:w="0" w:type="dxa"/>
          <w:right w:w="108" w:type="dxa"/>
        </w:tblCellMar>
      </w:tblPr>
      <w:tblGrid>
        <w:gridCol w:w="523"/>
        <w:gridCol w:w="924"/>
        <w:gridCol w:w="777"/>
        <w:gridCol w:w="5883"/>
        <w:gridCol w:w="891"/>
      </w:tblGrid>
      <w:tr w14:paraId="11DB22E9">
        <w:tblPrEx>
          <w:tblCellMar>
            <w:top w:w="0" w:type="dxa"/>
            <w:left w:w="108" w:type="dxa"/>
            <w:bottom w:w="0" w:type="dxa"/>
            <w:right w:w="108" w:type="dxa"/>
          </w:tblCellMar>
        </w:tblPrEx>
        <w:trPr>
          <w:cantSplit/>
          <w:trHeight w:val="1638" w:hRule="atLeast"/>
          <w:jc w:val="center"/>
        </w:trPr>
        <w:tc>
          <w:tcPr>
            <w:tcW w:w="523" w:type="dxa"/>
            <w:tcBorders>
              <w:top w:val="single" w:color="000000" w:sz="4" w:space="0"/>
              <w:left w:val="single" w:color="000000" w:sz="4" w:space="0"/>
              <w:bottom w:val="single" w:color="000000" w:sz="4" w:space="0"/>
              <w:right w:val="single" w:color="000000" w:sz="4" w:space="0"/>
            </w:tcBorders>
            <w:noWrap/>
            <w:vAlign w:val="center"/>
          </w:tcPr>
          <w:p w14:paraId="334F6FE0">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序号</w:t>
            </w: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70979498">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评分因素</w:t>
            </w:r>
          </w:p>
          <w:p w14:paraId="05E28965">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及权重</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08C8EC4C">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分值</w:t>
            </w:r>
          </w:p>
        </w:tc>
        <w:tc>
          <w:tcPr>
            <w:tcW w:w="5883" w:type="dxa"/>
            <w:tcBorders>
              <w:top w:val="single" w:color="000000" w:sz="4" w:space="0"/>
              <w:left w:val="single" w:color="000000" w:sz="4" w:space="0"/>
              <w:bottom w:val="single" w:color="000000" w:sz="4" w:space="0"/>
              <w:right w:val="single" w:color="000000" w:sz="4" w:space="0"/>
            </w:tcBorders>
            <w:noWrap/>
            <w:vAlign w:val="center"/>
          </w:tcPr>
          <w:p w14:paraId="7A6C7D86">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评分标准</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761F7C31">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说 明</w:t>
            </w:r>
          </w:p>
        </w:tc>
      </w:tr>
      <w:tr w14:paraId="37F2EDA7">
        <w:tblPrEx>
          <w:tblCellMar>
            <w:top w:w="0" w:type="dxa"/>
            <w:left w:w="108" w:type="dxa"/>
            <w:bottom w:w="0" w:type="dxa"/>
            <w:right w:w="108" w:type="dxa"/>
          </w:tblCellMar>
        </w:tblPrEx>
        <w:trPr>
          <w:trHeight w:val="1891" w:hRule="atLeast"/>
          <w:jc w:val="center"/>
        </w:trPr>
        <w:tc>
          <w:tcPr>
            <w:tcW w:w="523" w:type="dxa"/>
            <w:tcBorders>
              <w:top w:val="single" w:color="000000" w:sz="4" w:space="0"/>
              <w:left w:val="single" w:color="000000" w:sz="4" w:space="0"/>
              <w:bottom w:val="single" w:color="000000" w:sz="4" w:space="0"/>
              <w:right w:val="single" w:color="000000" w:sz="4" w:space="0"/>
            </w:tcBorders>
            <w:noWrap/>
            <w:vAlign w:val="center"/>
          </w:tcPr>
          <w:p w14:paraId="304987E6">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1</w:t>
            </w: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1B59F7A3">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报价</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439CA5AA">
            <w:pPr>
              <w:rPr>
                <w:rFonts w:hint="eastAsia" w:ascii="仿宋" w:hAnsi="仿宋" w:eastAsia="仿宋" w:cs="仿宋"/>
                <w:kern w:val="1"/>
                <w:sz w:val="32"/>
                <w:szCs w:val="32"/>
              </w:rPr>
            </w:pPr>
            <w:r>
              <w:rPr>
                <w:rFonts w:hint="eastAsia" w:ascii="仿宋" w:hAnsi="仿宋" w:eastAsia="仿宋" w:cs="仿宋"/>
                <w:kern w:val="1"/>
                <w:sz w:val="32"/>
                <w:szCs w:val="32"/>
              </w:rPr>
              <w:t>15</w:t>
            </w:r>
          </w:p>
        </w:tc>
        <w:tc>
          <w:tcPr>
            <w:tcW w:w="5883" w:type="dxa"/>
            <w:tcBorders>
              <w:top w:val="single" w:color="000000" w:sz="4" w:space="0"/>
              <w:left w:val="single" w:color="000000" w:sz="4" w:space="0"/>
              <w:bottom w:val="single" w:color="000000" w:sz="4" w:space="0"/>
              <w:right w:val="single" w:color="000000" w:sz="4" w:space="0"/>
            </w:tcBorders>
            <w:noWrap/>
            <w:vAlign w:val="center"/>
          </w:tcPr>
          <w:p w14:paraId="3460A56C">
            <w:pPr>
              <w:rPr>
                <w:rFonts w:hint="eastAsia" w:ascii="仿宋" w:hAnsi="仿宋" w:eastAsia="仿宋" w:cs="仿宋"/>
                <w:kern w:val="1"/>
                <w:sz w:val="32"/>
                <w:szCs w:val="32"/>
              </w:rPr>
            </w:pPr>
            <w:r>
              <w:rPr>
                <w:rFonts w:hint="eastAsia" w:ascii="仿宋" w:hAnsi="仿宋" w:eastAsia="仿宋" w:cs="仿宋"/>
                <w:kern w:val="1"/>
                <w:sz w:val="32"/>
                <w:szCs w:val="32"/>
              </w:rPr>
              <w:t>满足招标文件要求且投标价格最低的投标报价为评标基准价，其价格分为满分。其他供应商的价格分统一按照下列公式计算：投标报价得分=(评标基准价÷投标报价)×15%×100；（最低价基准法）</w:t>
            </w:r>
          </w:p>
          <w:p w14:paraId="45419322">
            <w:pPr>
              <w:rPr>
                <w:rFonts w:hint="eastAsia" w:ascii="仿宋" w:hAnsi="仿宋" w:eastAsia="仿宋" w:cs="仿宋"/>
                <w:kern w:val="1"/>
                <w:sz w:val="32"/>
                <w:szCs w:val="32"/>
              </w:rPr>
            </w:pP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2750FD8A">
            <w:pPr>
              <w:spacing w:line="320" w:lineRule="atLeast"/>
              <w:jc w:val="center"/>
              <w:rPr>
                <w:rFonts w:hint="eastAsia" w:ascii="仿宋" w:hAnsi="仿宋" w:eastAsia="仿宋" w:cs="仿宋"/>
                <w:sz w:val="32"/>
                <w:szCs w:val="32"/>
              </w:rPr>
            </w:pPr>
          </w:p>
        </w:tc>
      </w:tr>
      <w:tr w14:paraId="676979B3">
        <w:tblPrEx>
          <w:tblCellMar>
            <w:top w:w="0" w:type="dxa"/>
            <w:left w:w="108" w:type="dxa"/>
            <w:bottom w:w="0" w:type="dxa"/>
            <w:right w:w="108" w:type="dxa"/>
          </w:tblCellMar>
        </w:tblPrEx>
        <w:trPr>
          <w:trHeight w:val="1711" w:hRule="atLeast"/>
          <w:jc w:val="center"/>
        </w:trPr>
        <w:tc>
          <w:tcPr>
            <w:tcW w:w="523" w:type="dxa"/>
            <w:tcBorders>
              <w:top w:val="single" w:color="000000" w:sz="4" w:space="0"/>
              <w:left w:val="single" w:color="000000" w:sz="4" w:space="0"/>
              <w:bottom w:val="single" w:color="000000" w:sz="4" w:space="0"/>
              <w:right w:val="single" w:color="000000" w:sz="4" w:space="0"/>
            </w:tcBorders>
            <w:noWrap/>
            <w:vAlign w:val="center"/>
          </w:tcPr>
          <w:p w14:paraId="20BCD457">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2</w:t>
            </w: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26B415D8">
            <w:pPr>
              <w:spacing w:line="320" w:lineRule="atLeast"/>
              <w:jc w:val="center"/>
              <w:rPr>
                <w:rFonts w:hint="eastAsia" w:ascii="仿宋" w:hAnsi="仿宋" w:eastAsia="仿宋" w:cs="仿宋"/>
                <w:sz w:val="32"/>
                <w:szCs w:val="32"/>
              </w:rPr>
            </w:pPr>
          </w:p>
          <w:p w14:paraId="34710F12">
            <w:pPr>
              <w:spacing w:line="320" w:lineRule="atLeast"/>
              <w:jc w:val="center"/>
              <w:rPr>
                <w:rFonts w:hint="eastAsia" w:ascii="仿宋" w:hAnsi="仿宋" w:eastAsia="仿宋" w:cs="仿宋"/>
                <w:kern w:val="1"/>
                <w:sz w:val="32"/>
                <w:szCs w:val="32"/>
              </w:rPr>
            </w:pPr>
            <w:r>
              <w:rPr>
                <w:rFonts w:hint="eastAsia" w:ascii="仿宋" w:hAnsi="仿宋" w:eastAsia="仿宋" w:cs="仿宋"/>
                <w:sz w:val="32"/>
                <w:szCs w:val="32"/>
              </w:rPr>
              <w:t>服务</w:t>
            </w:r>
            <w:r>
              <w:rPr>
                <w:rFonts w:hint="eastAsia" w:ascii="仿宋" w:hAnsi="仿宋" w:eastAsia="仿宋" w:cs="仿宋"/>
                <w:kern w:val="1"/>
                <w:sz w:val="32"/>
                <w:szCs w:val="32"/>
              </w:rPr>
              <w:t>方案</w:t>
            </w:r>
          </w:p>
          <w:p w14:paraId="777A78FD">
            <w:pPr>
              <w:spacing w:line="320" w:lineRule="atLeast"/>
              <w:jc w:val="center"/>
              <w:rPr>
                <w:rFonts w:hint="eastAsia" w:ascii="仿宋" w:hAnsi="仿宋" w:eastAsia="仿宋" w:cs="仿宋"/>
                <w:sz w:val="32"/>
                <w:szCs w:val="32"/>
              </w:rPr>
            </w:pP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54B87054">
            <w:pPr>
              <w:rPr>
                <w:rFonts w:hint="eastAsia" w:ascii="仿宋" w:hAnsi="仿宋" w:eastAsia="仿宋" w:cs="仿宋"/>
                <w:sz w:val="32"/>
                <w:szCs w:val="32"/>
              </w:rPr>
            </w:pPr>
            <w:r>
              <w:rPr>
                <w:rFonts w:hint="eastAsia" w:ascii="仿宋" w:hAnsi="仿宋" w:eastAsia="仿宋" w:cs="仿宋"/>
                <w:kern w:val="1"/>
                <w:sz w:val="32"/>
                <w:szCs w:val="32"/>
              </w:rPr>
              <w:t>40</w:t>
            </w:r>
          </w:p>
        </w:tc>
        <w:tc>
          <w:tcPr>
            <w:tcW w:w="5883" w:type="dxa"/>
            <w:tcBorders>
              <w:top w:val="single" w:color="000000" w:sz="4" w:space="0"/>
              <w:left w:val="single" w:color="000000" w:sz="4" w:space="0"/>
              <w:bottom w:val="single" w:color="000000" w:sz="4" w:space="0"/>
              <w:right w:val="single" w:color="000000" w:sz="4" w:space="0"/>
            </w:tcBorders>
            <w:noWrap/>
            <w:vAlign w:val="center"/>
          </w:tcPr>
          <w:p w14:paraId="59CF12E8">
            <w:pPr>
              <w:rPr>
                <w:rFonts w:hint="eastAsia" w:ascii="仿宋" w:hAnsi="仿宋" w:eastAsia="仿宋" w:cs="仿宋"/>
                <w:kern w:val="1"/>
                <w:sz w:val="32"/>
                <w:szCs w:val="32"/>
              </w:rPr>
            </w:pPr>
            <w:r>
              <w:rPr>
                <w:rFonts w:hint="eastAsia" w:ascii="仿宋" w:hAnsi="仿宋" w:eastAsia="仿宋" w:cs="仿宋"/>
                <w:kern w:val="1"/>
                <w:sz w:val="32"/>
                <w:szCs w:val="32"/>
              </w:rPr>
              <w:t>1.</w:t>
            </w:r>
            <w:r>
              <w:rPr>
                <w:rFonts w:ascii="仿宋" w:hAnsi="仿宋" w:eastAsia="仿宋" w:cs="仿宋"/>
                <w:kern w:val="1"/>
                <w:sz w:val="32"/>
                <w:szCs w:val="32"/>
              </w:rPr>
              <w:t>对项目需求的理解与分析</w:t>
            </w:r>
            <w:r>
              <w:rPr>
                <w:rFonts w:hint="eastAsia" w:ascii="仿宋" w:hAnsi="仿宋" w:eastAsia="仿宋" w:cs="仿宋"/>
                <w:kern w:val="1"/>
                <w:sz w:val="32"/>
                <w:szCs w:val="32"/>
              </w:rPr>
              <w:t>：</w:t>
            </w:r>
            <w:r>
              <w:rPr>
                <w:rFonts w:ascii="仿宋" w:hAnsi="仿宋" w:eastAsia="仿宋" w:cs="仿宋"/>
                <w:kern w:val="1"/>
                <w:sz w:val="32"/>
                <w:szCs w:val="32"/>
              </w:rPr>
              <w:t>对医院痛点、新院区挑战的理解深度</w:t>
            </w:r>
            <w:r>
              <w:rPr>
                <w:rFonts w:hint="eastAsia" w:ascii="仿宋" w:hAnsi="仿宋" w:eastAsia="仿宋" w:cs="仿宋"/>
                <w:kern w:val="1"/>
                <w:sz w:val="32"/>
                <w:szCs w:val="32"/>
              </w:rPr>
              <w:t>。</w:t>
            </w:r>
          </w:p>
          <w:p w14:paraId="4E72CE0A">
            <w:pPr>
              <w:rPr>
                <w:rFonts w:hint="eastAsia" w:ascii="仿宋" w:hAnsi="仿宋" w:eastAsia="仿宋" w:cs="仿宋"/>
                <w:kern w:val="1"/>
                <w:sz w:val="32"/>
                <w:szCs w:val="32"/>
              </w:rPr>
            </w:pPr>
            <w:r>
              <w:rPr>
                <w:rFonts w:hint="eastAsia" w:ascii="仿宋" w:hAnsi="仿宋" w:eastAsia="仿宋" w:cs="仿宋"/>
                <w:kern w:val="1"/>
                <w:sz w:val="32"/>
                <w:szCs w:val="32"/>
              </w:rPr>
              <w:t>2.</w:t>
            </w:r>
            <w:r>
              <w:rPr>
                <w:rFonts w:ascii="仿宋" w:hAnsi="仿宋" w:eastAsia="仿宋" w:cs="仿宋"/>
                <w:kern w:val="1"/>
                <w:sz w:val="32"/>
                <w:szCs w:val="32"/>
              </w:rPr>
              <w:t>工作方案与技术路线</w:t>
            </w:r>
            <w:r>
              <w:rPr>
                <w:rFonts w:hint="eastAsia" w:ascii="仿宋" w:hAnsi="仿宋" w:eastAsia="仿宋" w:cs="仿宋"/>
                <w:kern w:val="1"/>
                <w:sz w:val="32"/>
                <w:szCs w:val="32"/>
              </w:rPr>
              <w:t>：</w:t>
            </w:r>
            <w:r>
              <w:rPr>
                <w:rFonts w:ascii="仿宋" w:hAnsi="仿宋" w:eastAsia="仿宋" w:cs="仿宋"/>
                <w:kern w:val="1"/>
                <w:sz w:val="32"/>
                <w:szCs w:val="32"/>
              </w:rPr>
              <w:t>测算方法是否科学、逻辑是否清晰、模型构建思路是否合理、数据来源是否可靠、KPI设计是否贴合实际</w:t>
            </w:r>
            <w:r>
              <w:rPr>
                <w:rFonts w:hint="eastAsia" w:ascii="仿宋" w:hAnsi="仿宋" w:eastAsia="仿宋" w:cs="仿宋"/>
                <w:kern w:val="1"/>
                <w:sz w:val="32"/>
                <w:szCs w:val="32"/>
              </w:rPr>
              <w:t>。</w:t>
            </w:r>
          </w:p>
          <w:p w14:paraId="46439459">
            <w:pPr>
              <w:rPr>
                <w:rFonts w:hint="eastAsia" w:ascii="仿宋" w:hAnsi="仿宋" w:eastAsia="仿宋" w:cs="仿宋"/>
                <w:kern w:val="1"/>
                <w:sz w:val="32"/>
                <w:szCs w:val="32"/>
              </w:rPr>
            </w:pPr>
            <w:r>
              <w:rPr>
                <w:rFonts w:hint="eastAsia" w:ascii="仿宋" w:hAnsi="仿宋" w:eastAsia="仿宋" w:cs="仿宋"/>
                <w:kern w:val="1"/>
                <w:sz w:val="32"/>
                <w:szCs w:val="32"/>
              </w:rPr>
              <w:t>3.</w:t>
            </w:r>
            <w:r>
              <w:rPr>
                <w:rFonts w:ascii="仿宋" w:hAnsi="仿宋" w:eastAsia="仿宋" w:cs="仿宋"/>
                <w:kern w:val="1"/>
                <w:sz w:val="32"/>
                <w:szCs w:val="32"/>
              </w:rPr>
              <w:t>项目进度计划与保障措施</w:t>
            </w:r>
            <w:r>
              <w:rPr>
                <w:rFonts w:hint="eastAsia" w:ascii="仿宋" w:hAnsi="仿宋" w:eastAsia="仿宋" w:cs="仿宋"/>
                <w:kern w:val="1"/>
                <w:sz w:val="32"/>
                <w:szCs w:val="32"/>
              </w:rPr>
              <w:t>：</w:t>
            </w:r>
            <w:r>
              <w:rPr>
                <w:rFonts w:ascii="仿宋" w:hAnsi="仿宋" w:eastAsia="仿宋" w:cs="仿宋"/>
                <w:kern w:val="1"/>
                <w:sz w:val="32"/>
                <w:szCs w:val="32"/>
              </w:rPr>
              <w:t>计划是否合理，能否保证按时交付</w:t>
            </w:r>
            <w:r>
              <w:rPr>
                <w:rFonts w:hint="eastAsia" w:ascii="仿宋" w:hAnsi="仿宋" w:eastAsia="仿宋" w:cs="仿宋"/>
                <w:kern w:val="1"/>
                <w:sz w:val="32"/>
                <w:szCs w:val="32"/>
              </w:rPr>
              <w:t>。</w:t>
            </w:r>
          </w:p>
          <w:p w14:paraId="48D3ADD7">
            <w:pPr>
              <w:rPr>
                <w:rFonts w:hint="eastAsia" w:ascii="仿宋" w:hAnsi="仿宋" w:eastAsia="仿宋" w:cs="仿宋"/>
                <w:kern w:val="1"/>
                <w:sz w:val="32"/>
                <w:szCs w:val="32"/>
              </w:rPr>
            </w:pPr>
            <w:r>
              <w:rPr>
                <w:rFonts w:hint="eastAsia" w:ascii="仿宋" w:hAnsi="仿宋" w:eastAsia="仿宋" w:cs="仿宋"/>
                <w:kern w:val="1"/>
                <w:sz w:val="32"/>
                <w:szCs w:val="32"/>
              </w:rPr>
              <w:t>4.</w:t>
            </w:r>
            <w:r>
              <w:rPr>
                <w:rFonts w:ascii="仿宋" w:hAnsi="仿宋" w:eastAsia="仿宋" w:cs="仿宋"/>
                <w:kern w:val="1"/>
                <w:sz w:val="32"/>
                <w:szCs w:val="32"/>
              </w:rPr>
              <w:t>质量保证措施</w:t>
            </w:r>
            <w:r>
              <w:rPr>
                <w:rFonts w:hint="eastAsia" w:ascii="仿宋" w:hAnsi="仿宋" w:eastAsia="仿宋" w:cs="仿宋"/>
                <w:kern w:val="1"/>
                <w:sz w:val="32"/>
                <w:szCs w:val="32"/>
              </w:rPr>
              <w:t>：</w:t>
            </w:r>
            <w:r>
              <w:rPr>
                <w:rFonts w:ascii="仿宋" w:hAnsi="仿宋" w:eastAsia="仿宋" w:cs="仿宋"/>
                <w:kern w:val="1"/>
                <w:sz w:val="32"/>
                <w:szCs w:val="32"/>
              </w:rPr>
              <w:t>如何确保数据和报告的准确性、科学性</w:t>
            </w:r>
            <w:r>
              <w:rPr>
                <w:rFonts w:hint="eastAsia" w:ascii="仿宋" w:hAnsi="仿宋" w:eastAsia="仿宋" w:cs="仿宋"/>
                <w:kern w:val="1"/>
                <w:sz w:val="32"/>
                <w:szCs w:val="32"/>
              </w:rPr>
              <w:t>。</w:t>
            </w:r>
          </w:p>
          <w:p w14:paraId="1305BD96">
            <w:pPr>
              <w:rPr>
                <w:rFonts w:hint="eastAsia" w:ascii="仿宋" w:hAnsi="仿宋" w:eastAsia="仿宋" w:cs="仿宋"/>
                <w:kern w:val="1"/>
                <w:sz w:val="32"/>
                <w:szCs w:val="32"/>
              </w:rPr>
            </w:pPr>
            <w:r>
              <w:rPr>
                <w:rFonts w:hint="eastAsia" w:ascii="仿宋" w:hAnsi="仿宋" w:eastAsia="仿宋" w:cs="仿宋"/>
                <w:kern w:val="1"/>
                <w:sz w:val="32"/>
                <w:szCs w:val="32"/>
              </w:rPr>
              <w:t>以上内容符合实际情况、内容完善、完全响应采购要求得10分，每缺漏一项扣10分，每有一处内容缺陷（缺陷是指：存在不适用项目实际情况的情形、凭空编造、内容前后不一致、涉及的规范及标准错误、地点区域错误、内容缺失、与项目实施特点不匹配等）扣4分，扣完为止。</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1B77C4EB">
            <w:pPr>
              <w:spacing w:line="320" w:lineRule="atLeast"/>
              <w:jc w:val="center"/>
              <w:rPr>
                <w:rFonts w:hint="eastAsia" w:ascii="仿宋" w:hAnsi="仿宋" w:eastAsia="仿宋" w:cs="仿宋"/>
                <w:sz w:val="32"/>
                <w:szCs w:val="32"/>
              </w:rPr>
            </w:pPr>
          </w:p>
        </w:tc>
      </w:tr>
      <w:tr w14:paraId="47F14B97">
        <w:tblPrEx>
          <w:tblCellMar>
            <w:top w:w="0" w:type="dxa"/>
            <w:left w:w="108" w:type="dxa"/>
            <w:bottom w:w="0" w:type="dxa"/>
            <w:right w:w="108" w:type="dxa"/>
          </w:tblCellMar>
        </w:tblPrEx>
        <w:trPr>
          <w:trHeight w:val="1055" w:hRule="atLeast"/>
          <w:jc w:val="center"/>
        </w:trPr>
        <w:tc>
          <w:tcPr>
            <w:tcW w:w="523" w:type="dxa"/>
            <w:tcBorders>
              <w:top w:val="single" w:color="000000" w:sz="4" w:space="0"/>
              <w:left w:val="single" w:color="000000" w:sz="4" w:space="0"/>
              <w:bottom w:val="single" w:color="000000" w:sz="4" w:space="0"/>
              <w:right w:val="single" w:color="000000" w:sz="4" w:space="0"/>
            </w:tcBorders>
            <w:noWrap/>
            <w:vAlign w:val="center"/>
          </w:tcPr>
          <w:p w14:paraId="6CF5D15E">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3</w:t>
            </w: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5979466A">
            <w:pPr>
              <w:spacing w:line="320" w:lineRule="atLeast"/>
              <w:jc w:val="center"/>
              <w:rPr>
                <w:rFonts w:hint="eastAsia" w:ascii="仿宋" w:hAnsi="仿宋" w:eastAsia="仿宋" w:cs="仿宋"/>
                <w:sz w:val="32"/>
                <w:szCs w:val="32"/>
              </w:rPr>
            </w:pPr>
            <w:r>
              <w:rPr>
                <w:rFonts w:hint="eastAsia" w:ascii="仿宋" w:hAnsi="仿宋" w:eastAsia="仿宋" w:cs="仿宋"/>
                <w:sz w:val="32"/>
                <w:szCs w:val="32"/>
              </w:rPr>
              <w:t>团队实力</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151A6087">
            <w:pPr>
              <w:rPr>
                <w:rFonts w:hint="eastAsia" w:ascii="仿宋" w:hAnsi="仿宋" w:eastAsia="仿宋" w:cs="仿宋"/>
                <w:kern w:val="1"/>
                <w:sz w:val="32"/>
                <w:szCs w:val="32"/>
              </w:rPr>
            </w:pPr>
            <w:r>
              <w:rPr>
                <w:rFonts w:hint="eastAsia" w:ascii="仿宋" w:hAnsi="仿宋" w:eastAsia="仿宋" w:cs="仿宋"/>
                <w:kern w:val="1"/>
                <w:sz w:val="32"/>
                <w:szCs w:val="32"/>
              </w:rPr>
              <w:t>25</w:t>
            </w:r>
          </w:p>
        </w:tc>
        <w:tc>
          <w:tcPr>
            <w:tcW w:w="5883" w:type="dxa"/>
            <w:tcBorders>
              <w:top w:val="single" w:color="000000" w:sz="4" w:space="0"/>
              <w:left w:val="single" w:color="000000" w:sz="4" w:space="0"/>
              <w:bottom w:val="single" w:color="000000" w:sz="4" w:space="0"/>
              <w:right w:val="single" w:color="000000" w:sz="4" w:space="0"/>
            </w:tcBorders>
            <w:noWrap/>
            <w:vAlign w:val="center"/>
          </w:tcPr>
          <w:p w14:paraId="76D2C008">
            <w:pPr>
              <w:rPr>
                <w:rFonts w:hint="eastAsia" w:ascii="仿宋" w:hAnsi="仿宋" w:eastAsia="仿宋" w:cs="仿宋"/>
                <w:kern w:val="1"/>
                <w:sz w:val="32"/>
                <w:szCs w:val="32"/>
              </w:rPr>
            </w:pPr>
            <w:r>
              <w:rPr>
                <w:rFonts w:hint="eastAsia" w:ascii="仿宋" w:hAnsi="仿宋" w:eastAsia="仿宋" w:cs="仿宋"/>
                <w:kern w:val="1"/>
                <w:sz w:val="32"/>
                <w:szCs w:val="32"/>
              </w:rPr>
              <w:t>1.</w:t>
            </w:r>
            <w:r>
              <w:rPr>
                <w:rFonts w:ascii="仿宋" w:hAnsi="仿宋" w:eastAsia="仿宋" w:cs="仿宋"/>
                <w:kern w:val="1"/>
                <w:sz w:val="32"/>
                <w:szCs w:val="32"/>
              </w:rPr>
              <w:t>项目负责人： 需具备注册会计师，并具有</w:t>
            </w:r>
            <w:r>
              <w:rPr>
                <w:rFonts w:hint="eastAsia" w:ascii="仿宋" w:hAnsi="仿宋" w:eastAsia="仿宋" w:cs="仿宋"/>
                <w:kern w:val="1"/>
                <w:sz w:val="32"/>
                <w:szCs w:val="32"/>
              </w:rPr>
              <w:t>5</w:t>
            </w:r>
            <w:r>
              <w:rPr>
                <w:rFonts w:ascii="仿宋" w:hAnsi="仿宋" w:eastAsia="仿宋" w:cs="仿宋"/>
                <w:kern w:val="1"/>
                <w:sz w:val="32"/>
                <w:szCs w:val="32"/>
              </w:rPr>
              <w:t>年医疗健康领域管理咨询或财务分析经验</w:t>
            </w:r>
            <w:r>
              <w:rPr>
                <w:rFonts w:hint="eastAsia" w:ascii="仿宋" w:hAnsi="仿宋" w:eastAsia="仿宋" w:cs="仿宋"/>
                <w:kern w:val="1"/>
                <w:sz w:val="32"/>
                <w:szCs w:val="32"/>
              </w:rPr>
              <w:t>（10分）</w:t>
            </w:r>
            <w:r>
              <w:rPr>
                <w:rFonts w:ascii="仿宋" w:hAnsi="仿宋" w:eastAsia="仿宋" w:cs="仿宋"/>
                <w:kern w:val="1"/>
                <w:sz w:val="32"/>
                <w:szCs w:val="32"/>
              </w:rPr>
              <w:t>。</w:t>
            </w:r>
          </w:p>
          <w:p w14:paraId="64762EC9">
            <w:pPr>
              <w:rPr>
                <w:rFonts w:hint="eastAsia" w:ascii="仿宋" w:hAnsi="仿宋" w:eastAsia="仿宋" w:cs="仿宋"/>
                <w:kern w:val="1"/>
                <w:sz w:val="32"/>
                <w:szCs w:val="32"/>
              </w:rPr>
            </w:pPr>
            <w:r>
              <w:rPr>
                <w:rFonts w:hint="eastAsia" w:ascii="仿宋" w:hAnsi="仿宋" w:eastAsia="仿宋" w:cs="仿宋"/>
                <w:kern w:val="1"/>
                <w:sz w:val="32"/>
                <w:szCs w:val="32"/>
              </w:rPr>
              <w:t>2.</w:t>
            </w:r>
            <w:r>
              <w:rPr>
                <w:rFonts w:ascii="仿宋" w:hAnsi="仿宋" w:eastAsia="仿宋" w:cs="仿宋"/>
                <w:kern w:val="1"/>
                <w:sz w:val="32"/>
                <w:szCs w:val="32"/>
              </w:rPr>
              <w:t>核心成员： 团队中需包含财务分析、医院运营管理、医疗政策研究等领域的专业人员，并提供其简历、资质证书和相关经验证明</w:t>
            </w:r>
            <w:r>
              <w:rPr>
                <w:rFonts w:hint="eastAsia" w:ascii="仿宋" w:hAnsi="仿宋" w:eastAsia="仿宋" w:cs="仿宋"/>
                <w:kern w:val="1"/>
                <w:sz w:val="32"/>
                <w:szCs w:val="32"/>
              </w:rPr>
              <w:t>（每具备一个得5分，本项最多10分）</w:t>
            </w:r>
            <w:r>
              <w:rPr>
                <w:rFonts w:ascii="仿宋" w:hAnsi="仿宋" w:eastAsia="仿宋" w:cs="仿宋"/>
                <w:kern w:val="1"/>
                <w:sz w:val="32"/>
                <w:szCs w:val="32"/>
              </w:rPr>
              <w:t>。</w:t>
            </w:r>
          </w:p>
          <w:p w14:paraId="44F8FE2B">
            <w:pPr>
              <w:rPr>
                <w:rFonts w:hint="eastAsia" w:ascii="仿宋" w:hAnsi="仿宋" w:eastAsia="仿宋" w:cs="仿宋"/>
                <w:kern w:val="1"/>
                <w:sz w:val="32"/>
                <w:szCs w:val="32"/>
              </w:rPr>
            </w:pPr>
            <w:r>
              <w:rPr>
                <w:rFonts w:hint="eastAsia" w:ascii="仿宋" w:hAnsi="仿宋" w:eastAsia="仿宋" w:cs="仿宋"/>
                <w:kern w:val="1"/>
                <w:sz w:val="32"/>
                <w:szCs w:val="32"/>
              </w:rPr>
              <w:t>3.</w:t>
            </w:r>
            <w:r>
              <w:rPr>
                <w:rFonts w:ascii="仿宋" w:hAnsi="仿宋" w:eastAsia="仿宋" w:cs="仿宋"/>
                <w:kern w:val="1"/>
                <w:sz w:val="32"/>
                <w:szCs w:val="32"/>
              </w:rPr>
              <w:t>技术能力： 拥有或能证明其具备构建复杂财务预测模型的能力和工具。</w:t>
            </w:r>
            <w:r>
              <w:rPr>
                <w:rFonts w:hint="eastAsia" w:ascii="仿宋" w:hAnsi="仿宋" w:eastAsia="仿宋" w:cs="仿宋"/>
                <w:kern w:val="1"/>
                <w:sz w:val="32"/>
                <w:szCs w:val="32"/>
              </w:rPr>
              <w:t>（5分）</w:t>
            </w:r>
          </w:p>
          <w:p w14:paraId="73AE6849">
            <w:pPr>
              <w:rPr>
                <w:rFonts w:hint="eastAsia" w:ascii="仿宋" w:hAnsi="仿宋" w:eastAsia="仿宋" w:cs="仿宋"/>
                <w:kern w:val="1"/>
                <w:sz w:val="32"/>
                <w:szCs w:val="32"/>
              </w:rPr>
            </w:pP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0247F2A9">
            <w:pPr>
              <w:spacing w:line="320" w:lineRule="atLeast"/>
              <w:jc w:val="center"/>
              <w:rPr>
                <w:rFonts w:hint="eastAsia" w:ascii="仿宋" w:hAnsi="仿宋" w:eastAsia="仿宋" w:cs="仿宋"/>
                <w:sz w:val="32"/>
                <w:szCs w:val="32"/>
              </w:rPr>
            </w:pPr>
          </w:p>
        </w:tc>
      </w:tr>
      <w:tr w14:paraId="1C293FEC">
        <w:tblPrEx>
          <w:tblCellMar>
            <w:top w:w="0" w:type="dxa"/>
            <w:left w:w="108" w:type="dxa"/>
            <w:bottom w:w="0" w:type="dxa"/>
            <w:right w:w="108" w:type="dxa"/>
          </w:tblCellMar>
        </w:tblPrEx>
        <w:trPr>
          <w:trHeight w:val="1662" w:hRule="atLeast"/>
          <w:jc w:val="center"/>
        </w:trPr>
        <w:tc>
          <w:tcPr>
            <w:tcW w:w="523" w:type="dxa"/>
            <w:tcBorders>
              <w:top w:val="single" w:color="000000" w:sz="4" w:space="0"/>
              <w:left w:val="single" w:color="000000" w:sz="4" w:space="0"/>
              <w:bottom w:val="single" w:color="000000" w:sz="4" w:space="0"/>
              <w:right w:val="single" w:color="000000" w:sz="4" w:space="0"/>
            </w:tcBorders>
            <w:noWrap/>
            <w:vAlign w:val="center"/>
          </w:tcPr>
          <w:p w14:paraId="4576FF86">
            <w:pPr>
              <w:widowControl/>
              <w:spacing w:line="320" w:lineRule="atLeast"/>
              <w:jc w:val="center"/>
              <w:rPr>
                <w:rFonts w:hint="eastAsia" w:ascii="仿宋" w:hAnsi="仿宋" w:eastAsia="仿宋" w:cs="仿宋"/>
                <w:sz w:val="32"/>
                <w:szCs w:val="32"/>
              </w:rPr>
            </w:pPr>
            <w:r>
              <w:rPr>
                <w:rFonts w:hint="eastAsia" w:ascii="仿宋" w:hAnsi="仿宋" w:eastAsia="仿宋" w:cs="仿宋"/>
                <w:sz w:val="32"/>
                <w:szCs w:val="32"/>
              </w:rPr>
              <w:t>5</w:t>
            </w: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65686BA5">
            <w:pPr>
              <w:widowControl/>
              <w:spacing w:line="320" w:lineRule="atLeast"/>
              <w:jc w:val="center"/>
              <w:rPr>
                <w:rFonts w:hint="eastAsia" w:ascii="仿宋" w:hAnsi="仿宋" w:eastAsia="仿宋" w:cs="仿宋"/>
                <w:sz w:val="32"/>
                <w:szCs w:val="32"/>
              </w:rPr>
            </w:pPr>
            <w:r>
              <w:rPr>
                <w:rFonts w:hint="eastAsia" w:ascii="仿宋" w:hAnsi="仿宋" w:eastAsia="仿宋" w:cs="仿宋"/>
                <w:sz w:val="32"/>
                <w:szCs w:val="32"/>
              </w:rPr>
              <w:t>业绩</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3049A91C">
            <w:pPr>
              <w:spacing w:line="320" w:lineRule="atLeast"/>
              <w:rPr>
                <w:rFonts w:hint="eastAsia" w:ascii="仿宋" w:hAnsi="仿宋" w:eastAsia="仿宋" w:cs="仿宋"/>
                <w:kern w:val="1"/>
                <w:sz w:val="32"/>
                <w:szCs w:val="32"/>
              </w:rPr>
            </w:pPr>
            <w:r>
              <w:rPr>
                <w:rFonts w:hint="eastAsia" w:ascii="仿宋" w:hAnsi="仿宋" w:eastAsia="仿宋" w:cs="仿宋"/>
                <w:kern w:val="1"/>
                <w:sz w:val="32"/>
                <w:szCs w:val="32"/>
              </w:rPr>
              <w:t>20</w:t>
            </w:r>
          </w:p>
        </w:tc>
        <w:tc>
          <w:tcPr>
            <w:tcW w:w="5883" w:type="dxa"/>
            <w:tcBorders>
              <w:top w:val="single" w:color="000000" w:sz="4" w:space="0"/>
              <w:left w:val="single" w:color="000000" w:sz="4" w:space="0"/>
              <w:bottom w:val="single" w:color="000000" w:sz="4" w:space="0"/>
              <w:right w:val="single" w:color="000000" w:sz="4" w:space="0"/>
            </w:tcBorders>
            <w:noWrap/>
            <w:vAlign w:val="center"/>
          </w:tcPr>
          <w:p w14:paraId="36E6E8F3">
            <w:pPr>
              <w:spacing w:line="320" w:lineRule="atLeast"/>
              <w:jc w:val="left"/>
              <w:rPr>
                <w:rFonts w:hint="eastAsia" w:ascii="仿宋" w:hAnsi="仿宋" w:eastAsia="仿宋" w:cs="仿宋"/>
                <w:sz w:val="32"/>
                <w:szCs w:val="32"/>
              </w:rPr>
            </w:pPr>
            <w:r>
              <w:rPr>
                <w:rFonts w:ascii="仿宋" w:hAnsi="仿宋" w:eastAsia="仿宋" w:cs="仿宋"/>
                <w:color w:val="000000"/>
                <w:spacing w:val="2"/>
                <w:sz w:val="32"/>
                <w:szCs w:val="32"/>
              </w:rPr>
              <w:t>提供近三年内承接的类似项目（如三</w:t>
            </w:r>
            <w:r>
              <w:rPr>
                <w:rFonts w:hint="eastAsia" w:ascii="仿宋" w:hAnsi="仿宋" w:eastAsia="仿宋" w:cs="仿宋"/>
                <w:color w:val="000000"/>
                <w:spacing w:val="2"/>
                <w:sz w:val="32"/>
                <w:szCs w:val="32"/>
              </w:rPr>
              <w:t>级</w:t>
            </w:r>
            <w:r>
              <w:rPr>
                <w:rFonts w:ascii="仿宋" w:hAnsi="仿宋" w:eastAsia="仿宋" w:cs="仿宋"/>
                <w:color w:val="000000"/>
                <w:spacing w:val="2"/>
                <w:sz w:val="32"/>
                <w:szCs w:val="32"/>
              </w:rPr>
              <w:t>医院新院区可行性研究、医院财务模型构建、大型医疗机构运营效益分析等）的合同关键页及成果证明。</w:t>
            </w:r>
            <w:r>
              <w:rPr>
                <w:rFonts w:hint="eastAsia" w:ascii="仿宋" w:hAnsi="仿宋" w:eastAsia="仿宋" w:cs="仿宋"/>
                <w:color w:val="000000"/>
                <w:spacing w:val="2"/>
                <w:sz w:val="32"/>
                <w:szCs w:val="32"/>
              </w:rPr>
              <w:t>每个业绩得4分</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45001ED4">
            <w:pPr>
              <w:spacing w:line="320" w:lineRule="atLeast"/>
              <w:jc w:val="center"/>
              <w:rPr>
                <w:rFonts w:hint="eastAsia" w:ascii="仿宋" w:hAnsi="仿宋" w:eastAsia="仿宋" w:cs="仿宋"/>
                <w:sz w:val="32"/>
                <w:szCs w:val="32"/>
              </w:rPr>
            </w:pPr>
            <w:r>
              <w:rPr>
                <w:rFonts w:hint="eastAsia" w:ascii="仿宋" w:hAnsi="仿宋" w:eastAsia="仿宋" w:cs="仿宋"/>
                <w:sz w:val="32"/>
                <w:szCs w:val="32"/>
              </w:rPr>
              <w:t>共同评审因素</w:t>
            </w:r>
          </w:p>
        </w:tc>
      </w:tr>
    </w:tbl>
    <w:p w14:paraId="6A3A1038">
      <w:pPr>
        <w:rPr>
          <w:rFonts w:hint="eastAsia" w:ascii="黑体" w:hAnsi="黑体" w:eastAsia="黑体" w:cs="黑体"/>
        </w:rPr>
      </w:pPr>
    </w:p>
    <w:sectPr>
      <w:headerReference r:id="rId4" w:type="first"/>
      <w:footerReference r:id="rId6" w:type="first"/>
      <w:headerReference r:id="rId3" w:type="default"/>
      <w:footerReference r:id="rId5" w:type="default"/>
      <w:pgSz w:w="11906" w:h="16838"/>
      <w:pgMar w:top="1134" w:right="1134" w:bottom="1020" w:left="1474" w:header="680" w:footer="680" w:gutter="0"/>
      <w:cols w:space="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740C8">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52A675">
                          <w:pPr>
                            <w:pStyle w:val="12"/>
                            <w:rPr>
                              <w:sz w:val="24"/>
                              <w:szCs w:val="24"/>
                            </w:rPr>
                          </w:pPr>
                          <w:r>
                            <w:rPr>
                              <w:sz w:val="24"/>
                              <w:szCs w:val="24"/>
                            </w:rPr>
                            <w:t xml:space="preserve">第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页 共 </w:t>
                          </w:r>
                          <w:r>
                            <w:rPr>
                              <w:sz w:val="24"/>
                              <w:szCs w:val="24"/>
                            </w:rPr>
                            <w:fldChar w:fldCharType="begin"/>
                          </w:r>
                          <w:r>
                            <w:rPr>
                              <w:sz w:val="24"/>
                              <w:szCs w:val="24"/>
                            </w:rPr>
                            <w:instrText xml:space="preserve"> NUMPAGES  \* MERGEFORMAT </w:instrText>
                          </w:r>
                          <w:r>
                            <w:rPr>
                              <w:sz w:val="24"/>
                              <w:szCs w:val="24"/>
                            </w:rPr>
                            <w:fldChar w:fldCharType="separate"/>
                          </w:r>
                          <w:r>
                            <w:rPr>
                              <w:sz w:val="24"/>
                              <w:szCs w:val="24"/>
                            </w:rPr>
                            <w:t>13</w:t>
                          </w:r>
                          <w:r>
                            <w:rPr>
                              <w:sz w:val="24"/>
                              <w:szCs w:val="24"/>
                            </w:rPr>
                            <w:fldChar w:fldCharType="end"/>
                          </w:r>
                          <w:r>
                            <w:rPr>
                              <w:sz w:val="24"/>
                              <w:szCs w:val="24"/>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E52A675">
                    <w:pPr>
                      <w:pStyle w:val="12"/>
                      <w:rPr>
                        <w:sz w:val="24"/>
                        <w:szCs w:val="24"/>
                      </w:rPr>
                    </w:pPr>
                    <w:r>
                      <w:rPr>
                        <w:sz w:val="24"/>
                        <w:szCs w:val="24"/>
                      </w:rPr>
                      <w:t xml:space="preserve">第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页 共 </w:t>
                    </w:r>
                    <w:r>
                      <w:rPr>
                        <w:sz w:val="24"/>
                        <w:szCs w:val="24"/>
                      </w:rPr>
                      <w:fldChar w:fldCharType="begin"/>
                    </w:r>
                    <w:r>
                      <w:rPr>
                        <w:sz w:val="24"/>
                        <w:szCs w:val="24"/>
                      </w:rPr>
                      <w:instrText xml:space="preserve"> NUMPAGES  \* MERGEFORMAT </w:instrText>
                    </w:r>
                    <w:r>
                      <w:rPr>
                        <w:sz w:val="24"/>
                        <w:szCs w:val="24"/>
                      </w:rPr>
                      <w:fldChar w:fldCharType="separate"/>
                    </w:r>
                    <w:r>
                      <w:rPr>
                        <w:sz w:val="24"/>
                        <w:szCs w:val="24"/>
                      </w:rPr>
                      <w:t>13</w:t>
                    </w:r>
                    <w:r>
                      <w:rPr>
                        <w:sz w:val="24"/>
                        <w:szCs w:val="24"/>
                      </w:rPr>
                      <w:fldChar w:fldCharType="end"/>
                    </w:r>
                    <w:r>
                      <w:rPr>
                        <w:sz w:val="24"/>
                        <w:szCs w:val="24"/>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BD86A">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07C723">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B07C723">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20330">
    <w:pPr>
      <w:pStyle w:val="13"/>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55565">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B0FD13"/>
    <w:multiLevelType w:val="singleLevel"/>
    <w:tmpl w:val="C0B0FD13"/>
    <w:lvl w:ilvl="0" w:tentative="0">
      <w:start w:val="4"/>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iN2VmZThjMzNiOWMyOWMxMTEwM2ZiOGYwYzY1NzgifQ=="/>
  </w:docVars>
  <w:rsids>
    <w:rsidRoot w:val="20B86F62"/>
    <w:rsid w:val="001C392C"/>
    <w:rsid w:val="001F19CD"/>
    <w:rsid w:val="00276533"/>
    <w:rsid w:val="002803E2"/>
    <w:rsid w:val="003352B4"/>
    <w:rsid w:val="003D56B5"/>
    <w:rsid w:val="003D653C"/>
    <w:rsid w:val="00460792"/>
    <w:rsid w:val="004A0838"/>
    <w:rsid w:val="004A41D1"/>
    <w:rsid w:val="004C331A"/>
    <w:rsid w:val="00546D38"/>
    <w:rsid w:val="005571E7"/>
    <w:rsid w:val="006568E6"/>
    <w:rsid w:val="006B7EA8"/>
    <w:rsid w:val="006F78F9"/>
    <w:rsid w:val="007246D6"/>
    <w:rsid w:val="0078563D"/>
    <w:rsid w:val="008A524E"/>
    <w:rsid w:val="00914701"/>
    <w:rsid w:val="009D185A"/>
    <w:rsid w:val="00A706E8"/>
    <w:rsid w:val="00B1399C"/>
    <w:rsid w:val="00B65C75"/>
    <w:rsid w:val="00BA6F77"/>
    <w:rsid w:val="00BB058E"/>
    <w:rsid w:val="00CE058E"/>
    <w:rsid w:val="00E025D0"/>
    <w:rsid w:val="00E1463B"/>
    <w:rsid w:val="00EC51EA"/>
    <w:rsid w:val="00F637C5"/>
    <w:rsid w:val="00F7248E"/>
    <w:rsid w:val="00FE51BA"/>
    <w:rsid w:val="01724615"/>
    <w:rsid w:val="01AC44D5"/>
    <w:rsid w:val="01DA1F83"/>
    <w:rsid w:val="022C53EC"/>
    <w:rsid w:val="02653FAC"/>
    <w:rsid w:val="038264FB"/>
    <w:rsid w:val="03E45948"/>
    <w:rsid w:val="03EB6F22"/>
    <w:rsid w:val="047A7398"/>
    <w:rsid w:val="04976AF6"/>
    <w:rsid w:val="05813897"/>
    <w:rsid w:val="05B93485"/>
    <w:rsid w:val="05DD44EC"/>
    <w:rsid w:val="05FA4A68"/>
    <w:rsid w:val="06C83EF1"/>
    <w:rsid w:val="07954271"/>
    <w:rsid w:val="07E32607"/>
    <w:rsid w:val="083F7233"/>
    <w:rsid w:val="08570094"/>
    <w:rsid w:val="0892424A"/>
    <w:rsid w:val="08A100E8"/>
    <w:rsid w:val="08D706EB"/>
    <w:rsid w:val="09281C73"/>
    <w:rsid w:val="092B0852"/>
    <w:rsid w:val="099C0C65"/>
    <w:rsid w:val="09CF2980"/>
    <w:rsid w:val="0A5766D2"/>
    <w:rsid w:val="0B481B96"/>
    <w:rsid w:val="0B5B6EA7"/>
    <w:rsid w:val="0B9B184D"/>
    <w:rsid w:val="0BBF2600"/>
    <w:rsid w:val="0C3E61B9"/>
    <w:rsid w:val="0DA12370"/>
    <w:rsid w:val="0DBF0EC4"/>
    <w:rsid w:val="0DE40DBE"/>
    <w:rsid w:val="0E672DB3"/>
    <w:rsid w:val="0E904937"/>
    <w:rsid w:val="0E9843E1"/>
    <w:rsid w:val="0E9E1831"/>
    <w:rsid w:val="0EAB0093"/>
    <w:rsid w:val="0F225786"/>
    <w:rsid w:val="0FCE2C6B"/>
    <w:rsid w:val="107F49DA"/>
    <w:rsid w:val="11103FB2"/>
    <w:rsid w:val="11106DD4"/>
    <w:rsid w:val="113065C7"/>
    <w:rsid w:val="11551C0D"/>
    <w:rsid w:val="11630C29"/>
    <w:rsid w:val="12374305"/>
    <w:rsid w:val="12AB3D92"/>
    <w:rsid w:val="132D67B3"/>
    <w:rsid w:val="13320F8E"/>
    <w:rsid w:val="13E72023"/>
    <w:rsid w:val="159705C2"/>
    <w:rsid w:val="182F44F3"/>
    <w:rsid w:val="184E41FF"/>
    <w:rsid w:val="1865790E"/>
    <w:rsid w:val="189E6B7E"/>
    <w:rsid w:val="18E41C4F"/>
    <w:rsid w:val="18EA25BB"/>
    <w:rsid w:val="193B3817"/>
    <w:rsid w:val="19497A6B"/>
    <w:rsid w:val="1998123A"/>
    <w:rsid w:val="19DF1744"/>
    <w:rsid w:val="1A8B6B5A"/>
    <w:rsid w:val="1AF5353D"/>
    <w:rsid w:val="1B493578"/>
    <w:rsid w:val="1B5723EF"/>
    <w:rsid w:val="1B93321C"/>
    <w:rsid w:val="1BAD400C"/>
    <w:rsid w:val="1C380FAC"/>
    <w:rsid w:val="1DAC6DD6"/>
    <w:rsid w:val="1DE81A96"/>
    <w:rsid w:val="1E4521C9"/>
    <w:rsid w:val="1EC85776"/>
    <w:rsid w:val="1F0B1E38"/>
    <w:rsid w:val="1F176598"/>
    <w:rsid w:val="1F782175"/>
    <w:rsid w:val="1FFB4E00"/>
    <w:rsid w:val="200C1DCC"/>
    <w:rsid w:val="2024443A"/>
    <w:rsid w:val="20B62B46"/>
    <w:rsid w:val="20B86F62"/>
    <w:rsid w:val="20DA469D"/>
    <w:rsid w:val="21141E9E"/>
    <w:rsid w:val="219C0935"/>
    <w:rsid w:val="219C0C5F"/>
    <w:rsid w:val="223E3923"/>
    <w:rsid w:val="22CD72A0"/>
    <w:rsid w:val="22DC6C27"/>
    <w:rsid w:val="230709BE"/>
    <w:rsid w:val="2333299E"/>
    <w:rsid w:val="23B92E0F"/>
    <w:rsid w:val="245C589E"/>
    <w:rsid w:val="24640781"/>
    <w:rsid w:val="24972E1D"/>
    <w:rsid w:val="2575459C"/>
    <w:rsid w:val="258F1C50"/>
    <w:rsid w:val="260C2C13"/>
    <w:rsid w:val="26DE5391"/>
    <w:rsid w:val="26F92D9C"/>
    <w:rsid w:val="27727EF2"/>
    <w:rsid w:val="27E167C8"/>
    <w:rsid w:val="27E8188C"/>
    <w:rsid w:val="27FC6D6D"/>
    <w:rsid w:val="280F7F64"/>
    <w:rsid w:val="286E79EF"/>
    <w:rsid w:val="295D2E54"/>
    <w:rsid w:val="29E733A5"/>
    <w:rsid w:val="29EC6ACA"/>
    <w:rsid w:val="2A571F3F"/>
    <w:rsid w:val="2A6F6F5A"/>
    <w:rsid w:val="2A752D03"/>
    <w:rsid w:val="2A954942"/>
    <w:rsid w:val="2AD02384"/>
    <w:rsid w:val="2B4A4982"/>
    <w:rsid w:val="2B6C2AA5"/>
    <w:rsid w:val="2C3A64AA"/>
    <w:rsid w:val="2C603C27"/>
    <w:rsid w:val="2CC9483E"/>
    <w:rsid w:val="2CD61AC0"/>
    <w:rsid w:val="2D003A0D"/>
    <w:rsid w:val="2D225054"/>
    <w:rsid w:val="2D3E76EB"/>
    <w:rsid w:val="2D675D4F"/>
    <w:rsid w:val="2DAD2928"/>
    <w:rsid w:val="2E3D6C9E"/>
    <w:rsid w:val="2E681D4B"/>
    <w:rsid w:val="2E763F41"/>
    <w:rsid w:val="2ED755ED"/>
    <w:rsid w:val="2EFF3B7B"/>
    <w:rsid w:val="2F2D5CF3"/>
    <w:rsid w:val="2FFD053A"/>
    <w:rsid w:val="305074F8"/>
    <w:rsid w:val="30567424"/>
    <w:rsid w:val="30A47F0F"/>
    <w:rsid w:val="31AE2E30"/>
    <w:rsid w:val="32145B6C"/>
    <w:rsid w:val="32482F63"/>
    <w:rsid w:val="32887A79"/>
    <w:rsid w:val="3367096B"/>
    <w:rsid w:val="34015BA1"/>
    <w:rsid w:val="34104944"/>
    <w:rsid w:val="34607C42"/>
    <w:rsid w:val="34AD3121"/>
    <w:rsid w:val="35850C85"/>
    <w:rsid w:val="358537EA"/>
    <w:rsid w:val="36206E51"/>
    <w:rsid w:val="3645059F"/>
    <w:rsid w:val="36FA0C0E"/>
    <w:rsid w:val="37564C34"/>
    <w:rsid w:val="37AF0C3F"/>
    <w:rsid w:val="381338B3"/>
    <w:rsid w:val="387820A1"/>
    <w:rsid w:val="391D2725"/>
    <w:rsid w:val="39241426"/>
    <w:rsid w:val="3A0A5821"/>
    <w:rsid w:val="3ADC539A"/>
    <w:rsid w:val="3AE30FAC"/>
    <w:rsid w:val="3B3A67B9"/>
    <w:rsid w:val="3B572D45"/>
    <w:rsid w:val="3B65061B"/>
    <w:rsid w:val="3BB47094"/>
    <w:rsid w:val="3BD82555"/>
    <w:rsid w:val="3C396CD8"/>
    <w:rsid w:val="3D912EF9"/>
    <w:rsid w:val="3DA25E25"/>
    <w:rsid w:val="3E103198"/>
    <w:rsid w:val="3E5C675F"/>
    <w:rsid w:val="3EBE1131"/>
    <w:rsid w:val="3F541632"/>
    <w:rsid w:val="4003626C"/>
    <w:rsid w:val="410C5355"/>
    <w:rsid w:val="416F0B2D"/>
    <w:rsid w:val="41817FB6"/>
    <w:rsid w:val="41894D39"/>
    <w:rsid w:val="41A91634"/>
    <w:rsid w:val="41C408EB"/>
    <w:rsid w:val="41E85D9F"/>
    <w:rsid w:val="421364F5"/>
    <w:rsid w:val="426D0D62"/>
    <w:rsid w:val="42893EDE"/>
    <w:rsid w:val="42C02DF3"/>
    <w:rsid w:val="42CD5B5D"/>
    <w:rsid w:val="43102EB4"/>
    <w:rsid w:val="431A22B8"/>
    <w:rsid w:val="439A1C32"/>
    <w:rsid w:val="43C05837"/>
    <w:rsid w:val="43EA5A8B"/>
    <w:rsid w:val="440E56DA"/>
    <w:rsid w:val="443E01E7"/>
    <w:rsid w:val="44665196"/>
    <w:rsid w:val="44CD6391"/>
    <w:rsid w:val="44D66D93"/>
    <w:rsid w:val="45484D77"/>
    <w:rsid w:val="45976AE3"/>
    <w:rsid w:val="45D1027C"/>
    <w:rsid w:val="46653F5C"/>
    <w:rsid w:val="4670116D"/>
    <w:rsid w:val="46BF177E"/>
    <w:rsid w:val="46CC0FBC"/>
    <w:rsid w:val="46F821E8"/>
    <w:rsid w:val="47E92A18"/>
    <w:rsid w:val="484F3834"/>
    <w:rsid w:val="486A1208"/>
    <w:rsid w:val="487E3CCE"/>
    <w:rsid w:val="491D7010"/>
    <w:rsid w:val="49F61C6A"/>
    <w:rsid w:val="4A2F0F8F"/>
    <w:rsid w:val="4A92068D"/>
    <w:rsid w:val="4B21070C"/>
    <w:rsid w:val="4BEC5CD0"/>
    <w:rsid w:val="4C6D260E"/>
    <w:rsid w:val="4CA65850"/>
    <w:rsid w:val="4D4867BB"/>
    <w:rsid w:val="4D7854C0"/>
    <w:rsid w:val="4E1C022A"/>
    <w:rsid w:val="4E1E1D89"/>
    <w:rsid w:val="4FA771C2"/>
    <w:rsid w:val="4FDC7DDA"/>
    <w:rsid w:val="5003209D"/>
    <w:rsid w:val="508E2B4E"/>
    <w:rsid w:val="524A480D"/>
    <w:rsid w:val="5263348D"/>
    <w:rsid w:val="527E7420"/>
    <w:rsid w:val="5292301A"/>
    <w:rsid w:val="52C10CD7"/>
    <w:rsid w:val="52F64CB8"/>
    <w:rsid w:val="52FB39A7"/>
    <w:rsid w:val="531641E9"/>
    <w:rsid w:val="5446604D"/>
    <w:rsid w:val="547E1AE0"/>
    <w:rsid w:val="54F554AC"/>
    <w:rsid w:val="551A0D5D"/>
    <w:rsid w:val="55EE4C06"/>
    <w:rsid w:val="561A148B"/>
    <w:rsid w:val="565B213D"/>
    <w:rsid w:val="56773B8D"/>
    <w:rsid w:val="56D444B4"/>
    <w:rsid w:val="572D0183"/>
    <w:rsid w:val="57567F4A"/>
    <w:rsid w:val="57667B7B"/>
    <w:rsid w:val="578D66D2"/>
    <w:rsid w:val="580A2903"/>
    <w:rsid w:val="58367041"/>
    <w:rsid w:val="583A1E71"/>
    <w:rsid w:val="584A40DF"/>
    <w:rsid w:val="589814E3"/>
    <w:rsid w:val="58B969E6"/>
    <w:rsid w:val="58C42CE6"/>
    <w:rsid w:val="58F77004"/>
    <w:rsid w:val="59035A6B"/>
    <w:rsid w:val="592C7507"/>
    <w:rsid w:val="59A37B89"/>
    <w:rsid w:val="59D35B7E"/>
    <w:rsid w:val="5AD77D82"/>
    <w:rsid w:val="5B134CBA"/>
    <w:rsid w:val="5B214FE3"/>
    <w:rsid w:val="5C557763"/>
    <w:rsid w:val="5CC55E89"/>
    <w:rsid w:val="5CC74DB0"/>
    <w:rsid w:val="5DA41796"/>
    <w:rsid w:val="5DC167D7"/>
    <w:rsid w:val="5F0E08C6"/>
    <w:rsid w:val="5F5075CA"/>
    <w:rsid w:val="5F7007A2"/>
    <w:rsid w:val="5F85487D"/>
    <w:rsid w:val="5FB650D9"/>
    <w:rsid w:val="6096215E"/>
    <w:rsid w:val="626070DF"/>
    <w:rsid w:val="62B86D17"/>
    <w:rsid w:val="62C824CA"/>
    <w:rsid w:val="635F68CB"/>
    <w:rsid w:val="642A2386"/>
    <w:rsid w:val="64677320"/>
    <w:rsid w:val="653C0392"/>
    <w:rsid w:val="6586792A"/>
    <w:rsid w:val="65DD20B3"/>
    <w:rsid w:val="662C503A"/>
    <w:rsid w:val="66BB543F"/>
    <w:rsid w:val="66C47D68"/>
    <w:rsid w:val="6783144D"/>
    <w:rsid w:val="67A45BAF"/>
    <w:rsid w:val="67CF5796"/>
    <w:rsid w:val="6855309E"/>
    <w:rsid w:val="68B23C16"/>
    <w:rsid w:val="69264D03"/>
    <w:rsid w:val="694F76A8"/>
    <w:rsid w:val="69884565"/>
    <w:rsid w:val="69CF4DB4"/>
    <w:rsid w:val="69F16575"/>
    <w:rsid w:val="69F97B21"/>
    <w:rsid w:val="69FE6269"/>
    <w:rsid w:val="6B110ED0"/>
    <w:rsid w:val="6B3D74AC"/>
    <w:rsid w:val="6BF5199F"/>
    <w:rsid w:val="6C81461E"/>
    <w:rsid w:val="6CE610BF"/>
    <w:rsid w:val="6CED312F"/>
    <w:rsid w:val="6CF2654E"/>
    <w:rsid w:val="6D1916FD"/>
    <w:rsid w:val="6D226C43"/>
    <w:rsid w:val="6D535020"/>
    <w:rsid w:val="6DCF5925"/>
    <w:rsid w:val="6E383ABA"/>
    <w:rsid w:val="6E8B493F"/>
    <w:rsid w:val="6EA3545A"/>
    <w:rsid w:val="6F9F7F7D"/>
    <w:rsid w:val="719A4F83"/>
    <w:rsid w:val="71DE50A5"/>
    <w:rsid w:val="722B548E"/>
    <w:rsid w:val="722E4AEA"/>
    <w:rsid w:val="73683978"/>
    <w:rsid w:val="73F43F5E"/>
    <w:rsid w:val="7438150C"/>
    <w:rsid w:val="746F037C"/>
    <w:rsid w:val="74802750"/>
    <w:rsid w:val="74D379E1"/>
    <w:rsid w:val="74F82EAA"/>
    <w:rsid w:val="75457DB7"/>
    <w:rsid w:val="7563067A"/>
    <w:rsid w:val="75E55D62"/>
    <w:rsid w:val="76466533"/>
    <w:rsid w:val="77F97E1C"/>
    <w:rsid w:val="785111E8"/>
    <w:rsid w:val="78E831F4"/>
    <w:rsid w:val="79AC141B"/>
    <w:rsid w:val="79B51E35"/>
    <w:rsid w:val="79EA27D4"/>
    <w:rsid w:val="7AE23540"/>
    <w:rsid w:val="7C29457B"/>
    <w:rsid w:val="7CE9423F"/>
    <w:rsid w:val="7D9A1A1C"/>
    <w:rsid w:val="7E163DF2"/>
    <w:rsid w:val="7E1D587C"/>
    <w:rsid w:val="7E1E62DD"/>
    <w:rsid w:val="7E220861"/>
    <w:rsid w:val="7E9A50CB"/>
    <w:rsid w:val="7EE2433D"/>
    <w:rsid w:val="7F1A184B"/>
    <w:rsid w:val="7F4A08A0"/>
    <w:rsid w:val="7F956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3"/>
    <w:qFormat/>
    <w:uiPriority w:val="0"/>
    <w:pPr>
      <w:keepNext/>
      <w:keepLines/>
      <w:spacing w:line="360" w:lineRule="auto"/>
      <w:jc w:val="center"/>
      <w:outlineLvl w:val="0"/>
    </w:pPr>
    <w:rPr>
      <w:rFonts w:hint="eastAsia" w:ascii="Times New Roman" w:hAnsi="Times New Roman" w:eastAsia="宋体"/>
      <w:b/>
      <w:color w:val="000000"/>
      <w:kern w:val="44"/>
      <w:sz w:val="44"/>
      <w:lang w:val="zh-CN"/>
    </w:rPr>
  </w:style>
  <w:style w:type="paragraph" w:styleId="3">
    <w:name w:val="heading 2"/>
    <w:basedOn w:val="1"/>
    <w:next w:val="1"/>
    <w:qFormat/>
    <w:uiPriority w:val="9"/>
    <w:pPr>
      <w:keepNext/>
      <w:keepLines/>
      <w:spacing w:before="260" w:after="260"/>
      <w:jc w:val="center"/>
      <w:outlineLvl w:val="1"/>
    </w:pPr>
    <w:rPr>
      <w:rFonts w:ascii="Cambria" w:hAnsi="Cambria" w:eastAsia="宋体"/>
      <w:b/>
      <w:bCs/>
      <w:kern w:val="0"/>
      <w:sz w:val="28"/>
      <w:szCs w:val="32"/>
    </w:rPr>
  </w:style>
  <w:style w:type="paragraph" w:styleId="4">
    <w:name w:val="heading 3"/>
    <w:basedOn w:val="1"/>
    <w:next w:val="1"/>
    <w:qFormat/>
    <w:uiPriority w:val="0"/>
    <w:pPr>
      <w:keepNext/>
      <w:keepLines/>
      <w:spacing w:before="260" w:after="260" w:line="416" w:lineRule="auto"/>
      <w:outlineLvl w:val="2"/>
    </w:pPr>
    <w:rPr>
      <w:b/>
      <w:bCs/>
      <w:kern w:val="0"/>
      <w:sz w:val="32"/>
      <w:szCs w:val="32"/>
    </w:rPr>
  </w:style>
  <w:style w:type="character" w:default="1" w:styleId="19">
    <w:name w:val="Default Paragraph Font"/>
    <w:semiHidden/>
    <w:unhideWhenUsed/>
    <w:qFormat/>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5">
    <w:name w:val="Body Text"/>
    <w:basedOn w:val="1"/>
    <w:next w:val="6"/>
    <w:qFormat/>
    <w:uiPriority w:val="0"/>
    <w:pPr>
      <w:spacing w:after="120"/>
    </w:pPr>
  </w:style>
  <w:style w:type="paragraph" w:styleId="6">
    <w:name w:val="Quote"/>
    <w:basedOn w:val="1"/>
    <w:next w:val="1"/>
    <w:qFormat/>
    <w:uiPriority w:val="0"/>
    <w:rPr>
      <w:i/>
      <w:iCs/>
      <w:color w:val="000000"/>
      <w:szCs w:val="22"/>
    </w:rPr>
  </w:style>
  <w:style w:type="paragraph" w:styleId="7">
    <w:name w:val="Body Text Indent"/>
    <w:basedOn w:val="1"/>
    <w:next w:val="8"/>
    <w:qFormat/>
    <w:uiPriority w:val="0"/>
    <w:pPr>
      <w:spacing w:after="120"/>
      <w:ind w:left="420" w:leftChars="200"/>
    </w:pPr>
  </w:style>
  <w:style w:type="paragraph" w:styleId="8">
    <w:name w:val="envelope return"/>
    <w:basedOn w:val="1"/>
    <w:qFormat/>
    <w:uiPriority w:val="0"/>
    <w:pPr>
      <w:snapToGrid w:val="0"/>
    </w:pPr>
    <w:rPr>
      <w:rFonts w:ascii="Arial" w:hAnsi="Arial"/>
    </w:rPr>
  </w:style>
  <w:style w:type="paragraph" w:styleId="9">
    <w:name w:val="toc 3"/>
    <w:basedOn w:val="1"/>
    <w:next w:val="1"/>
    <w:qFormat/>
    <w:uiPriority w:val="0"/>
    <w:pPr>
      <w:ind w:left="840" w:leftChars="400"/>
    </w:pPr>
  </w:style>
  <w:style w:type="paragraph" w:styleId="10">
    <w:name w:val="Plain Text"/>
    <w:basedOn w:val="1"/>
    <w:qFormat/>
    <w:uiPriority w:val="0"/>
    <w:rPr>
      <w:rFonts w:ascii="宋体" w:hAnsi="Courier New"/>
      <w:szCs w:val="20"/>
    </w:rPr>
  </w:style>
  <w:style w:type="paragraph" w:styleId="11">
    <w:name w:val="Body Text Indent 2"/>
    <w:basedOn w:val="1"/>
    <w:qFormat/>
    <w:uiPriority w:val="0"/>
    <w:pPr>
      <w:spacing w:after="120" w:line="480" w:lineRule="auto"/>
      <w:ind w:left="420" w:leftChars="200"/>
    </w:p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pPr>
      <w:tabs>
        <w:tab w:val="right" w:leader="dot" w:pos="9628"/>
      </w:tabs>
      <w:spacing w:line="360" w:lineRule="auto"/>
      <w:jc w:val="center"/>
    </w:pPr>
  </w:style>
  <w:style w:type="paragraph" w:styleId="1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6">
    <w:name w:val="Body Text First Indent"/>
    <w:basedOn w:val="5"/>
    <w:qFormat/>
    <w:uiPriority w:val="0"/>
    <w:pPr>
      <w:ind w:firstLine="420" w:firstLineChars="100"/>
    </w:pPr>
    <w:rPr>
      <w:rFonts w:ascii="Times New Roman" w:hAnsi="Times New Roman" w:eastAsia="宋体" w:cs="Times New Roman"/>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page number"/>
    <w:basedOn w:val="19"/>
    <w:qFormat/>
    <w:uiPriority w:val="0"/>
  </w:style>
  <w:style w:type="character" w:styleId="22">
    <w:name w:val="Hyperlink"/>
    <w:qFormat/>
    <w:uiPriority w:val="0"/>
    <w:rPr>
      <w:color w:val="0000FF"/>
      <w:u w:val="single"/>
    </w:rPr>
  </w:style>
  <w:style w:type="character" w:customStyle="1" w:styleId="23">
    <w:name w:val="标题 1 字符"/>
    <w:link w:val="2"/>
    <w:qFormat/>
    <w:uiPriority w:val="0"/>
    <w:rPr>
      <w:rFonts w:hint="eastAsia" w:ascii="Times New Roman" w:hAnsi="Times New Roman" w:eastAsia="宋体"/>
      <w:b/>
      <w:color w:val="000000"/>
      <w:kern w:val="44"/>
      <w:sz w:val="44"/>
      <w:lang w:val="zh-CN"/>
    </w:rPr>
  </w:style>
  <w:style w:type="paragraph" w:customStyle="1" w:styleId="24">
    <w:name w:val="正文首行缩进两字符"/>
    <w:basedOn w:val="1"/>
    <w:qFormat/>
    <w:uiPriority w:val="0"/>
    <w:pPr>
      <w:spacing w:line="360" w:lineRule="auto"/>
      <w:ind w:firstLine="200" w:firstLineChars="200"/>
    </w:pPr>
  </w:style>
  <w:style w:type="character" w:customStyle="1" w:styleId="25">
    <w:name w:val="font21"/>
    <w:basedOn w:val="19"/>
    <w:qFormat/>
    <w:uiPriority w:val="0"/>
    <w:rPr>
      <w:rFonts w:ascii="Calibri" w:hAnsi="Calibri" w:cs="Calibri"/>
      <w:color w:val="000000"/>
      <w:sz w:val="18"/>
      <w:szCs w:val="18"/>
      <w:u w:val="none"/>
    </w:rPr>
  </w:style>
  <w:style w:type="character" w:customStyle="1" w:styleId="26">
    <w:name w:val="font01"/>
    <w:basedOn w:val="19"/>
    <w:qFormat/>
    <w:uiPriority w:val="0"/>
    <w:rPr>
      <w:rFonts w:hint="eastAsia" w:ascii="宋体" w:hAnsi="宋体" w:eastAsia="宋体" w:cs="宋体"/>
      <w:color w:val="000000"/>
      <w:sz w:val="18"/>
      <w:szCs w:val="18"/>
      <w:u w:val="none"/>
    </w:rPr>
  </w:style>
  <w:style w:type="paragraph" w:styleId="27">
    <w:name w:val="List Paragraph"/>
    <w:basedOn w:val="1"/>
    <w:qFormat/>
    <w:uiPriority w:val="34"/>
    <w:pPr>
      <w:ind w:firstLine="420" w:firstLineChars="200"/>
    </w:pPr>
    <w:rPr>
      <w:rFonts w:ascii="Calibri" w:hAnsi="Calibri" w:eastAsia="宋体" w:cs="Times New Roman"/>
      <w:szCs w:val="22"/>
    </w:rPr>
  </w:style>
  <w:style w:type="paragraph" w:customStyle="1" w:styleId="28">
    <w:name w:val="文章正文"/>
    <w:basedOn w:val="1"/>
    <w:qFormat/>
    <w:uiPriority w:val="0"/>
    <w:pPr>
      <w:spacing w:line="360" w:lineRule="auto"/>
      <w:ind w:firstLine="420"/>
    </w:pPr>
    <w:rPr>
      <w:rFonts w:ascii="Calibri" w:hAnsi="Calibri"/>
      <w:sz w:val="24"/>
    </w:rPr>
  </w:style>
  <w:style w:type="paragraph" w:customStyle="1" w:styleId="29">
    <w:name w:val="_Style 1"/>
    <w:basedOn w:val="1"/>
    <w:qFormat/>
    <w:uiPriority w:val="34"/>
    <w:pPr>
      <w:ind w:firstLine="420" w:firstLineChars="200"/>
    </w:pPr>
  </w:style>
  <w:style w:type="paragraph" w:customStyle="1" w:styleId="30">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16</Pages>
  <Words>6397</Words>
  <Characters>6621</Characters>
  <Lines>50</Lines>
  <Paragraphs>14</Paragraphs>
  <TotalTime>3</TotalTime>
  <ScaleCrop>false</ScaleCrop>
  <LinksUpToDate>false</LinksUpToDate>
  <CharactersWithSpaces>6821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2018-10-30T02:17:00Z</dcterms:created>
  <dc:creator>于金玉</dc:creator>
  <cp:lastModifiedBy></cp:lastModifiedBy>
  <cp:lastPrinted>2019-09-23T08:20:00Z</cp:lastPrinted>
  <dcterms:modified xsi:type="dcterms:W3CDTF">2025-12-11T06:46:37Z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557FDE6B337A4AADB2E381649E6C64D0_13</vt:lpwstr>
  </property>
  <property fmtid="{D5CDD505-2E9C-101B-9397-08002B2CF9AE}" pid="4" name="KSOTemplateDocerSaveRecord">
    <vt:lpwstr>eyJoZGlkIjoiNjQxMGQ1MDU4OTJmZDMwZmUwMjhhMTY4YmI3MGFkMGMiLCJ1c2VySWQiOiIyNTE2ODU0MDQifQ==</vt:lpwstr>
  </property>
</Properties>
</file>