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A2787">
      <w:pPr>
        <w:jc w:val="center"/>
        <w:rPr>
          <w:rFonts w:hint="eastAsia" w:ascii="黑体" w:hAnsi="黑体" w:eastAsia="黑体" w:cs="黑体"/>
          <w:color w:val="auto"/>
          <w:sz w:val="36"/>
          <w:szCs w:val="36"/>
          <w:lang w:eastAsia="zh-CN"/>
        </w:rPr>
      </w:pPr>
      <w:r>
        <w:rPr>
          <w:rFonts w:hint="eastAsia" w:ascii="黑体" w:hAnsi="黑体" w:eastAsia="黑体" w:cs="黑体"/>
          <w:color w:val="auto"/>
          <w:sz w:val="36"/>
          <w:szCs w:val="36"/>
          <w:lang w:eastAsia="zh-CN"/>
        </w:rPr>
        <w:t>第一章</w:t>
      </w:r>
      <w:r>
        <w:rPr>
          <w:rFonts w:hint="eastAsia" w:ascii="黑体" w:hAnsi="黑体" w:eastAsia="黑体" w:cs="黑体"/>
          <w:color w:val="auto"/>
          <w:sz w:val="36"/>
          <w:szCs w:val="36"/>
          <w:lang w:val="en-US" w:eastAsia="zh-CN"/>
        </w:rPr>
        <w:t xml:space="preserve">  </w:t>
      </w:r>
      <w:r>
        <w:rPr>
          <w:rFonts w:hint="eastAsia" w:ascii="黑体" w:hAnsi="黑体" w:eastAsia="黑体" w:cs="黑体"/>
          <w:color w:val="auto"/>
          <w:sz w:val="36"/>
          <w:szCs w:val="36"/>
          <w:lang w:eastAsia="zh-CN"/>
        </w:rPr>
        <w:t>乐山市五通桥区人民医院院内采购公告</w:t>
      </w:r>
    </w:p>
    <w:p w14:paraId="7E40A9D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auto"/>
          <w:kern w:val="0"/>
          <w:sz w:val="28"/>
          <w:szCs w:val="28"/>
          <w:lang w:eastAsia="zh-CN"/>
        </w:rPr>
      </w:pPr>
    </w:p>
    <w:p w14:paraId="52CBC63B">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采购项目名称：洗涤用品</w:t>
      </w:r>
    </w:p>
    <w:p w14:paraId="5407005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eastAsia="zh-CN"/>
        </w:rPr>
        <w:t>项目采购编号：</w:t>
      </w:r>
      <w:r>
        <w:rPr>
          <w:rFonts w:hint="eastAsia" w:ascii="仿宋" w:hAnsi="仿宋" w:eastAsia="仿宋" w:cs="仿宋"/>
          <w:color w:val="auto"/>
          <w:kern w:val="0"/>
          <w:sz w:val="32"/>
          <w:szCs w:val="32"/>
          <w:lang w:val="en-US" w:eastAsia="zh-CN"/>
        </w:rPr>
        <w:t xml:space="preserve">YNCG2025004    </w:t>
      </w:r>
    </w:p>
    <w:p w14:paraId="504BE74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采购项目内容（详细要求请看附件）：</w:t>
      </w:r>
    </w:p>
    <w:p w14:paraId="4A475AD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0C48E796">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三</w:t>
      </w:r>
      <w:r>
        <w:rPr>
          <w:rFonts w:hint="eastAsia" w:ascii="仿宋" w:hAnsi="仿宋" w:eastAsia="仿宋" w:cs="仿宋"/>
          <w:color w:val="auto"/>
          <w:kern w:val="0"/>
          <w:sz w:val="32"/>
          <w:szCs w:val="32"/>
          <w:lang w:eastAsia="zh-CN"/>
        </w:rPr>
        <w:t>、供应商参加本次采购活动</w:t>
      </w:r>
      <w:r>
        <w:rPr>
          <w:rFonts w:hint="eastAsia" w:ascii="仿宋" w:hAnsi="仿宋" w:eastAsia="仿宋" w:cs="仿宋"/>
          <w:color w:val="auto"/>
          <w:kern w:val="0"/>
          <w:sz w:val="32"/>
          <w:szCs w:val="32"/>
          <w:lang w:val="en-US" w:eastAsia="zh-CN"/>
        </w:rPr>
        <w:t>需要</w:t>
      </w:r>
      <w:r>
        <w:rPr>
          <w:rFonts w:hint="eastAsia" w:ascii="仿宋" w:hAnsi="仿宋" w:eastAsia="仿宋" w:cs="仿宋"/>
          <w:color w:val="auto"/>
          <w:kern w:val="0"/>
          <w:sz w:val="32"/>
          <w:szCs w:val="32"/>
          <w:lang w:eastAsia="zh-CN"/>
        </w:rPr>
        <w:t>提交的资料：</w:t>
      </w:r>
    </w:p>
    <w:p w14:paraId="3DB55AE9">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潜在响应供应商可直接从本公告的附件中下载相关文件（如对文件有异议，应在本公告的有效时间电话询问或以书面提出合理质疑。公告到期后未收到书面质疑，视为潜在供应商认同文件的全部内容，采购办不再受理响应供应商对采购公告或相关文件的质疑。）</w:t>
      </w:r>
    </w:p>
    <w:p w14:paraId="783C53A1">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2.提交资料应按照采购文件中的承诺函、廉洁承诺书、采购资质要求、技术及商务要求提供2套。</w:t>
      </w:r>
    </w:p>
    <w:p w14:paraId="620E643A">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3.报价以及资料，采购响应文件封面请注明项目名称、联系人、联系电话、自行密封并加盖公章。</w:t>
      </w:r>
    </w:p>
    <w:p w14:paraId="363A63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4.请满足上述资质要求的供应商于2024年3月28</w:t>
      </w:r>
      <w:bookmarkStart w:id="16" w:name="_GoBack"/>
      <w:bookmarkEnd w:id="16"/>
      <w:r>
        <w:rPr>
          <w:rFonts w:hint="eastAsia" w:ascii="仿宋" w:hAnsi="仿宋" w:eastAsia="仿宋" w:cs="仿宋"/>
          <w:color w:val="auto"/>
          <w:kern w:val="0"/>
          <w:sz w:val="32"/>
          <w:szCs w:val="32"/>
          <w:lang w:val="en-US" w:eastAsia="zh-CN"/>
        </w:rPr>
        <w:t>日17:00之前将资料送至乐山市五通桥区人民医院采购办（行政楼三楼楼梯处），在截至时间以后送到的响应文件将被拒绝并退还给供应商。</w:t>
      </w:r>
    </w:p>
    <w:p w14:paraId="6E635C9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四、其他要求（参加采购的供应商视为全部接受以下条款）</w:t>
      </w:r>
    </w:p>
    <w:p w14:paraId="70BFA8F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1.方案报价在30日内有效，报价包括供应商履约过程中的服务费、人工、差旅、保险、税金与供应商履约所需要的其他所有费用。</w:t>
      </w:r>
    </w:p>
    <w:p w14:paraId="2DF64BF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在供应商满足相关资质要求及服务要求的条件下，采购采用最低价（一次报价），中标结果由医院网站公示，中标公司请在公示后30日内到采购办签订合同，超过公示后30日不响应签订合同的视为放弃中标资格，放弃中标资格或因不可抗力提出不能履行合同的，将按照排名先后顺序依次替补或重新招采。</w:t>
      </w:r>
    </w:p>
    <w:p w14:paraId="1F96F765">
      <w:pPr>
        <w:pStyle w:val="16"/>
        <w:spacing w:line="240" w:lineRule="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 xml:space="preserve">  3.本项目不接受联合体，不允许分包。</w:t>
      </w:r>
    </w:p>
    <w:p w14:paraId="77572E2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联系人:</w:t>
      </w:r>
      <w:r>
        <w:rPr>
          <w:rFonts w:hint="eastAsia" w:ascii="仿宋" w:hAnsi="仿宋" w:eastAsia="仿宋" w:cs="仿宋"/>
          <w:color w:val="auto"/>
          <w:kern w:val="0"/>
          <w:sz w:val="32"/>
          <w:szCs w:val="32"/>
          <w:lang w:val="en-US" w:eastAsia="zh-CN"/>
        </w:rPr>
        <w:t>龙</w:t>
      </w:r>
      <w:r>
        <w:rPr>
          <w:rFonts w:hint="eastAsia" w:ascii="仿宋" w:hAnsi="仿宋" w:eastAsia="仿宋" w:cs="仿宋"/>
          <w:color w:val="auto"/>
          <w:kern w:val="0"/>
          <w:sz w:val="32"/>
          <w:szCs w:val="32"/>
          <w:lang w:eastAsia="zh-CN"/>
        </w:rPr>
        <w:t>老师</w:t>
      </w:r>
      <w:r>
        <w:rPr>
          <w:rFonts w:hint="eastAsia" w:ascii="仿宋" w:hAnsi="仿宋" w:eastAsia="仿宋" w:cs="仿宋"/>
          <w:color w:val="auto"/>
          <w:kern w:val="0"/>
          <w:sz w:val="32"/>
          <w:szCs w:val="32"/>
          <w:lang w:val="en-US" w:eastAsia="zh-CN"/>
        </w:rPr>
        <w:t xml:space="preserve">(采购办)        </w:t>
      </w:r>
      <w:r>
        <w:rPr>
          <w:rFonts w:hint="eastAsia" w:ascii="仿宋" w:hAnsi="仿宋" w:eastAsia="仿宋" w:cs="仿宋"/>
          <w:color w:val="auto"/>
          <w:kern w:val="0"/>
          <w:sz w:val="32"/>
          <w:szCs w:val="32"/>
        </w:rPr>
        <w:t>联系电话:</w:t>
      </w:r>
      <w:r>
        <w:rPr>
          <w:rFonts w:hint="eastAsia" w:ascii="仿宋" w:hAnsi="仿宋" w:eastAsia="仿宋" w:cs="仿宋"/>
          <w:color w:val="auto"/>
          <w:kern w:val="0"/>
          <w:sz w:val="32"/>
          <w:szCs w:val="32"/>
          <w:lang w:val="en-US" w:eastAsia="zh-CN"/>
        </w:rPr>
        <w:t>0833-3211269</w:t>
      </w:r>
    </w:p>
    <w:p w14:paraId="6E254875">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联系人:</w:t>
      </w:r>
      <w:r>
        <w:rPr>
          <w:rFonts w:hint="eastAsia" w:ascii="仿宋" w:hAnsi="仿宋" w:eastAsia="仿宋" w:cs="仿宋"/>
          <w:color w:val="auto"/>
          <w:kern w:val="0"/>
          <w:sz w:val="32"/>
          <w:szCs w:val="32"/>
          <w:lang w:val="en-US" w:eastAsia="zh-CN"/>
        </w:rPr>
        <w:t>张</w:t>
      </w:r>
      <w:r>
        <w:rPr>
          <w:rFonts w:hint="eastAsia" w:ascii="仿宋" w:hAnsi="仿宋" w:eastAsia="仿宋" w:cs="仿宋"/>
          <w:color w:val="auto"/>
          <w:kern w:val="0"/>
          <w:sz w:val="32"/>
          <w:szCs w:val="32"/>
          <w:lang w:eastAsia="zh-CN"/>
        </w:rPr>
        <w:t>老师</w:t>
      </w:r>
      <w:r>
        <w:rPr>
          <w:rFonts w:hint="eastAsia" w:ascii="仿宋" w:hAnsi="仿宋" w:eastAsia="仿宋" w:cs="仿宋"/>
          <w:color w:val="auto"/>
          <w:kern w:val="0"/>
          <w:sz w:val="32"/>
          <w:szCs w:val="32"/>
          <w:lang w:val="en-US" w:eastAsia="zh-CN"/>
        </w:rPr>
        <w:t xml:space="preserve">(物管科) </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联系电话:</w:t>
      </w:r>
      <w:r>
        <w:rPr>
          <w:rFonts w:hint="eastAsia" w:ascii="仿宋" w:hAnsi="仿宋" w:eastAsia="仿宋" w:cs="仿宋"/>
          <w:color w:val="auto"/>
          <w:kern w:val="0"/>
          <w:sz w:val="32"/>
          <w:szCs w:val="32"/>
          <w:lang w:val="en-US" w:eastAsia="zh-CN"/>
        </w:rPr>
        <w:t>0833-3211269</w:t>
      </w:r>
    </w:p>
    <w:p w14:paraId="17D6BD6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val="en-US" w:eastAsia="zh-CN"/>
        </w:rPr>
      </w:pPr>
    </w:p>
    <w:p w14:paraId="3C3A5DEF">
      <w:pPr>
        <w:rPr>
          <w:rFonts w:hint="eastAsia" w:ascii="黑体" w:hAnsi="黑体" w:eastAsia="黑体" w:cs="黑体"/>
          <w:b/>
          <w:color w:val="auto"/>
          <w:sz w:val="36"/>
          <w:szCs w:val="36"/>
          <w:lang w:eastAsia="zh-CN"/>
        </w:rPr>
      </w:pPr>
      <w:r>
        <w:rPr>
          <w:rFonts w:hint="eastAsia" w:ascii="黑体" w:hAnsi="黑体" w:eastAsia="黑体" w:cs="黑体"/>
          <w:b/>
          <w:color w:val="auto"/>
          <w:sz w:val="36"/>
          <w:szCs w:val="36"/>
          <w:lang w:eastAsia="zh-CN"/>
        </w:rPr>
        <w:br w:type="page"/>
      </w:r>
    </w:p>
    <w:p w14:paraId="0C005918">
      <w:pPr>
        <w:pStyle w:val="5"/>
        <w:jc w:val="center"/>
        <w:rPr>
          <w:rFonts w:hint="eastAsia" w:ascii="黑体" w:hAnsi="黑体" w:eastAsia="黑体" w:cs="黑体"/>
          <w:color w:val="auto"/>
          <w:kern w:val="2"/>
          <w:sz w:val="36"/>
          <w:szCs w:val="36"/>
          <w:lang w:val="en-US" w:eastAsia="zh-CN" w:bidi="ar-SA"/>
        </w:rPr>
      </w:pPr>
      <w:r>
        <w:rPr>
          <w:rFonts w:hint="eastAsia" w:ascii="黑体" w:hAnsi="黑体" w:eastAsia="黑体" w:cs="黑体"/>
          <w:color w:val="auto"/>
          <w:kern w:val="2"/>
          <w:sz w:val="36"/>
          <w:szCs w:val="36"/>
          <w:lang w:val="en-US" w:eastAsia="zh-CN" w:bidi="ar-SA"/>
        </w:rPr>
        <w:t>第二章  采购须知</w:t>
      </w:r>
    </w:p>
    <w:p w14:paraId="4A68482B">
      <w:pPr>
        <w:pStyle w:val="30"/>
        <w:spacing w:line="240" w:lineRule="auto"/>
        <w:rPr>
          <w:rFonts w:hint="eastAsia"/>
          <w:color w:val="auto"/>
          <w:lang w:eastAsia="zh-CN"/>
        </w:rPr>
      </w:pPr>
    </w:p>
    <w:p w14:paraId="752D63B9">
      <w:pPr>
        <w:spacing w:line="240" w:lineRule="auto"/>
        <w:ind w:firstLine="643" w:firstLineChars="200"/>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eastAsia="zh-CN"/>
        </w:rPr>
        <w:t>一、院内采购总则</w:t>
      </w:r>
    </w:p>
    <w:p w14:paraId="47C86D68">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采购</w:t>
      </w:r>
      <w:r>
        <w:rPr>
          <w:rFonts w:hint="eastAsia" w:ascii="仿宋" w:hAnsi="仿宋" w:eastAsia="仿宋" w:cs="仿宋"/>
          <w:color w:val="auto"/>
          <w:sz w:val="32"/>
          <w:szCs w:val="32"/>
        </w:rPr>
        <w:t>项目参照《中华人民共和国政府采购法》《四川省政府采购非招标采购方式实施办法》等有关法律、法规和规章，通过</w:t>
      </w:r>
      <w:r>
        <w:rPr>
          <w:rFonts w:hint="eastAsia" w:ascii="仿宋" w:hAnsi="仿宋" w:eastAsia="仿宋" w:cs="仿宋"/>
          <w:color w:val="auto"/>
          <w:sz w:val="32"/>
          <w:szCs w:val="32"/>
          <w:lang w:eastAsia="zh-CN"/>
        </w:rPr>
        <w:t>最低价</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方式确定成交供应商。</w:t>
      </w:r>
    </w:p>
    <w:p w14:paraId="3B6BCC48">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本项目</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范围包括价格、质量、服务等方面内容，交货时间在合同中约定。</w:t>
      </w:r>
    </w:p>
    <w:p w14:paraId="411BB50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本采购项目最低要求：符合资质条件、技术参数及商务要求且报价不超过最高限价。</w:t>
      </w:r>
    </w:p>
    <w:p w14:paraId="04614F0E">
      <w:pPr>
        <w:numPr>
          <w:ilvl w:val="0"/>
          <w:numId w:val="0"/>
        </w:num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供应商自行承担本项目</w:t>
      </w:r>
      <w:r>
        <w:rPr>
          <w:rFonts w:hint="eastAsia" w:ascii="仿宋" w:hAnsi="仿宋" w:eastAsia="仿宋" w:cs="仿宋"/>
          <w:color w:val="auto"/>
          <w:sz w:val="32"/>
          <w:szCs w:val="32"/>
          <w:lang w:val="en-US" w:eastAsia="zh-CN"/>
        </w:rPr>
        <w:t>采购</w:t>
      </w:r>
      <w:r>
        <w:rPr>
          <w:rFonts w:hint="eastAsia" w:ascii="仿宋" w:hAnsi="仿宋" w:eastAsia="仿宋" w:cs="仿宋"/>
          <w:color w:val="auto"/>
          <w:sz w:val="32"/>
          <w:szCs w:val="32"/>
        </w:rPr>
        <w:t>活动所发生</w:t>
      </w:r>
      <w:r>
        <w:rPr>
          <w:rFonts w:hint="eastAsia" w:ascii="仿宋" w:hAnsi="仿宋" w:eastAsia="仿宋" w:cs="仿宋"/>
          <w:color w:val="auto"/>
          <w:sz w:val="32"/>
          <w:szCs w:val="32"/>
          <w:lang w:eastAsia="zh-CN"/>
        </w:rPr>
        <w:t>现场踏勘、标书制作等</w:t>
      </w:r>
      <w:r>
        <w:rPr>
          <w:rFonts w:hint="eastAsia" w:ascii="仿宋" w:hAnsi="仿宋" w:eastAsia="仿宋" w:cs="仿宋"/>
          <w:color w:val="auto"/>
          <w:sz w:val="32"/>
          <w:szCs w:val="32"/>
        </w:rPr>
        <w:t>费用。</w:t>
      </w:r>
    </w:p>
    <w:p w14:paraId="57FEB435">
      <w:pPr>
        <w:spacing w:line="24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w:t>
      </w:r>
      <w:r>
        <w:rPr>
          <w:rFonts w:hint="eastAsia" w:ascii="仿宋" w:hAnsi="仿宋" w:eastAsia="仿宋" w:cs="仿宋"/>
          <w:b/>
          <w:bCs/>
          <w:color w:val="auto"/>
          <w:sz w:val="32"/>
          <w:szCs w:val="32"/>
          <w:lang w:eastAsia="zh-CN"/>
        </w:rPr>
        <w:t>采购</w:t>
      </w:r>
      <w:r>
        <w:rPr>
          <w:rFonts w:hint="eastAsia" w:ascii="仿宋" w:hAnsi="仿宋" w:eastAsia="仿宋" w:cs="仿宋"/>
          <w:b/>
          <w:bCs/>
          <w:color w:val="auto"/>
          <w:sz w:val="32"/>
          <w:szCs w:val="32"/>
        </w:rPr>
        <w:t>响应文件的编制</w:t>
      </w:r>
    </w:p>
    <w:p w14:paraId="3D9AA500">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响应文件的密封：须提供标书一份，密封于一个包装袋内，封口处加盖单位鲜章，封面须注明：“项目名称：        ”，“项目编号：     ”，“于   年  月  日  时  分前不得拆封”等字样。未按询价文件要求密封的响应文件将被拒收。</w:t>
      </w:r>
    </w:p>
    <w:p w14:paraId="499EFADB">
      <w:pPr>
        <w:spacing w:line="24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响应文件</w:t>
      </w:r>
      <w:r>
        <w:rPr>
          <w:rFonts w:hint="eastAsia" w:ascii="仿宋" w:hAnsi="仿宋" w:eastAsia="仿宋" w:cs="仿宋"/>
          <w:color w:val="auto"/>
          <w:sz w:val="32"/>
          <w:szCs w:val="32"/>
          <w:lang w:eastAsia="zh-CN"/>
        </w:rPr>
        <w:t>分正（副）本装订</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一正</w:t>
      </w:r>
      <w:r>
        <w:rPr>
          <w:rFonts w:hint="eastAsia" w:ascii="仿宋" w:hAnsi="仿宋" w:eastAsia="仿宋" w:cs="仿宋"/>
          <w:color w:val="auto"/>
          <w:sz w:val="32"/>
          <w:szCs w:val="32"/>
          <w:lang w:val="en-US" w:eastAsia="zh-Hans"/>
        </w:rPr>
        <w:t>一</w:t>
      </w:r>
      <w:r>
        <w:rPr>
          <w:rFonts w:hint="eastAsia" w:ascii="仿宋" w:hAnsi="仿宋" w:eastAsia="仿宋" w:cs="仿宋"/>
          <w:color w:val="auto"/>
          <w:sz w:val="32"/>
          <w:szCs w:val="32"/>
          <w:lang w:eastAsia="zh-CN"/>
        </w:rPr>
        <w:t>副，</w:t>
      </w:r>
      <w:r>
        <w:rPr>
          <w:rFonts w:hint="eastAsia" w:ascii="仿宋" w:hAnsi="仿宋" w:eastAsia="仿宋" w:cs="仿宋"/>
          <w:color w:val="auto"/>
          <w:sz w:val="32"/>
          <w:szCs w:val="32"/>
        </w:rPr>
        <w:t>须用A4幅面纸张打印装订</w:t>
      </w:r>
      <w:r>
        <w:rPr>
          <w:rFonts w:hint="eastAsia" w:ascii="仿宋" w:hAnsi="仿宋" w:eastAsia="仿宋" w:cs="仿宋"/>
          <w:color w:val="auto"/>
          <w:sz w:val="32"/>
          <w:szCs w:val="32"/>
          <w:lang w:eastAsia="zh-CN"/>
        </w:rPr>
        <w:t>。</w:t>
      </w:r>
    </w:p>
    <w:p w14:paraId="7023D98A">
      <w:pPr>
        <w:spacing w:line="240" w:lineRule="auto"/>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响应文件的打印和书写应清楚工整，签字确认并加盖公章，否则无效。供应商为法人的，应当由其法定代表人或者代理人签字确认。</w:t>
      </w:r>
    </w:p>
    <w:p w14:paraId="6981F7BD">
      <w:pPr>
        <w:spacing w:line="24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三</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院内采购</w:t>
      </w:r>
      <w:r>
        <w:rPr>
          <w:rFonts w:hint="eastAsia" w:ascii="仿宋" w:hAnsi="仿宋" w:eastAsia="仿宋" w:cs="仿宋"/>
          <w:b/>
          <w:bCs/>
          <w:color w:val="auto"/>
          <w:sz w:val="32"/>
          <w:szCs w:val="32"/>
        </w:rPr>
        <w:t>会议的召开</w:t>
      </w:r>
    </w:p>
    <w:p w14:paraId="5CC7BC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32"/>
          <w:szCs w:val="32"/>
        </w:rPr>
      </w:pPr>
      <w:r>
        <w:rPr>
          <w:rFonts w:hint="eastAsia" w:ascii="仿宋" w:hAnsi="仿宋" w:eastAsia="仿宋" w:cs="仿宋"/>
          <w:b/>
          <w:color w:val="auto"/>
          <w:sz w:val="32"/>
          <w:szCs w:val="32"/>
        </w:rPr>
        <w:t xml:space="preserve">  </w:t>
      </w:r>
      <w:r>
        <w:rPr>
          <w:rFonts w:hint="eastAsia" w:ascii="仿宋" w:hAnsi="仿宋" w:eastAsia="仿宋" w:cs="仿宋"/>
          <w:b/>
          <w:color w:val="auto"/>
          <w:sz w:val="32"/>
          <w:szCs w:val="32"/>
          <w:lang w:val="en-US" w:eastAsia="zh-CN"/>
        </w:rPr>
        <w:t xml:space="preserve">  </w:t>
      </w:r>
      <w:r>
        <w:rPr>
          <w:rFonts w:hint="eastAsia" w:ascii="仿宋" w:hAnsi="仿宋" w:eastAsia="仿宋" w:cs="仿宋"/>
          <w:color w:val="auto"/>
          <w:sz w:val="32"/>
          <w:szCs w:val="32"/>
          <w:lang w:eastAsia="zh-CN"/>
        </w:rPr>
        <w:t>院内采购</w:t>
      </w:r>
      <w:r>
        <w:rPr>
          <w:rFonts w:hint="eastAsia" w:ascii="仿宋" w:hAnsi="仿宋" w:eastAsia="仿宋" w:cs="仿宋"/>
          <w:color w:val="auto"/>
          <w:sz w:val="32"/>
          <w:szCs w:val="32"/>
        </w:rPr>
        <w:t>会议顺序:</w:t>
      </w:r>
    </w:p>
    <w:p w14:paraId="16780D8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院内采购</w:t>
      </w:r>
      <w:r>
        <w:rPr>
          <w:rFonts w:hint="eastAsia" w:ascii="仿宋" w:hAnsi="仿宋" w:eastAsia="仿宋" w:cs="仿宋"/>
          <w:color w:val="auto"/>
          <w:sz w:val="32"/>
          <w:szCs w:val="32"/>
        </w:rPr>
        <w:t>由</w:t>
      </w:r>
      <w:r>
        <w:rPr>
          <w:rFonts w:hint="eastAsia" w:ascii="仿宋" w:hAnsi="仿宋" w:eastAsia="仿宋" w:cs="仿宋"/>
          <w:color w:val="auto"/>
          <w:sz w:val="32"/>
          <w:szCs w:val="32"/>
          <w:lang w:eastAsia="zh-CN"/>
        </w:rPr>
        <w:t>采购办</w:t>
      </w:r>
      <w:r>
        <w:rPr>
          <w:rFonts w:hint="eastAsia" w:ascii="仿宋" w:hAnsi="仿宋" w:eastAsia="仿宋" w:cs="仿宋"/>
          <w:color w:val="auto"/>
          <w:sz w:val="32"/>
          <w:szCs w:val="32"/>
        </w:rPr>
        <w:t>主持；</w:t>
      </w:r>
    </w:p>
    <w:p w14:paraId="411BA029">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由监督人员检查</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响应文件密封情况；</w:t>
      </w:r>
    </w:p>
    <w:p w14:paraId="3B27866B">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将符合密封要求的资格、技术商务、报价</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文件送</w:t>
      </w:r>
      <w:r>
        <w:rPr>
          <w:rFonts w:hint="eastAsia" w:ascii="仿宋" w:hAnsi="仿宋" w:eastAsia="仿宋" w:cs="仿宋"/>
          <w:color w:val="auto"/>
          <w:sz w:val="32"/>
          <w:szCs w:val="32"/>
          <w:lang w:eastAsia="zh-CN"/>
        </w:rPr>
        <w:t>评审</w:t>
      </w:r>
      <w:r>
        <w:rPr>
          <w:rFonts w:hint="eastAsia" w:ascii="仿宋" w:hAnsi="仿宋" w:eastAsia="仿宋" w:cs="仿宋"/>
          <w:color w:val="auto"/>
          <w:sz w:val="32"/>
          <w:szCs w:val="32"/>
        </w:rPr>
        <w:t>小组评审；</w:t>
      </w:r>
    </w:p>
    <w:p w14:paraId="0BF2A081">
      <w:pPr>
        <w:pStyle w:val="7"/>
        <w:spacing w:line="240" w:lineRule="auto"/>
        <w:ind w:left="0" w:leftChars="0" w:firstLine="640" w:firstLineChars="20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结束后，由</w:t>
      </w:r>
      <w:r>
        <w:rPr>
          <w:rFonts w:hint="eastAsia" w:ascii="仿宋" w:hAnsi="仿宋" w:eastAsia="仿宋" w:cs="仿宋"/>
          <w:color w:val="auto"/>
          <w:sz w:val="32"/>
          <w:szCs w:val="32"/>
          <w:lang w:eastAsia="zh-CN"/>
        </w:rPr>
        <w:t>评审小组根据报价情况</w:t>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auto"/>
        </w:rPr>
        <w:t>推荐成交候选供应商。</w:t>
      </w:r>
    </w:p>
    <w:p w14:paraId="2B386358">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四</w:t>
      </w:r>
      <w:r>
        <w:rPr>
          <w:rFonts w:hint="eastAsia" w:ascii="仿宋" w:hAnsi="仿宋" w:eastAsia="仿宋" w:cs="仿宋"/>
          <w:b/>
          <w:bCs/>
          <w:color w:val="auto"/>
          <w:sz w:val="32"/>
          <w:szCs w:val="32"/>
        </w:rPr>
        <w:t>、质疑提出与答复</w:t>
      </w:r>
    </w:p>
    <w:p w14:paraId="28EDF90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color w:val="auto"/>
          <w:sz w:val="32"/>
          <w:szCs w:val="32"/>
          <w:lang w:val="zh-CN" w:eastAsia="zh-CN"/>
        </w:rPr>
        <w:t>受理联系人及联系方式见公告</w:t>
      </w:r>
      <w:r>
        <w:rPr>
          <w:rFonts w:hint="eastAsia" w:ascii="仿宋" w:hAnsi="仿宋" w:eastAsia="仿宋" w:cs="仿宋"/>
          <w:color w:val="auto"/>
          <w:sz w:val="32"/>
          <w:szCs w:val="32"/>
          <w:lang w:val="en-US" w:eastAsia="zh-CN"/>
        </w:rPr>
        <w:t>采购办</w:t>
      </w:r>
      <w:r>
        <w:rPr>
          <w:rFonts w:hint="eastAsia" w:ascii="仿宋" w:hAnsi="仿宋" w:eastAsia="仿宋" w:cs="仿宋"/>
          <w:color w:val="auto"/>
          <w:sz w:val="32"/>
          <w:szCs w:val="32"/>
          <w:lang w:val="zh-CN" w:eastAsia="zh-CN"/>
        </w:rPr>
        <w:t>联系人。</w:t>
      </w:r>
    </w:p>
    <w:p w14:paraId="587B39DC">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3A13245A">
      <w:pPr>
        <w:pStyle w:val="5"/>
        <w:jc w:val="center"/>
        <w:rPr>
          <w:rFonts w:hint="eastAsia" w:ascii="黑体" w:hAnsi="黑体" w:eastAsia="黑体" w:cs="黑体"/>
          <w:color w:val="auto"/>
          <w:kern w:val="2"/>
          <w:sz w:val="36"/>
          <w:szCs w:val="36"/>
          <w:lang w:val="en-US" w:eastAsia="zh-CN" w:bidi="ar-SA"/>
        </w:rPr>
      </w:pPr>
      <w:r>
        <w:rPr>
          <w:rFonts w:hint="eastAsia" w:ascii="黑体" w:hAnsi="黑体" w:eastAsia="黑体" w:cs="黑体"/>
          <w:color w:val="auto"/>
          <w:kern w:val="2"/>
          <w:sz w:val="36"/>
          <w:szCs w:val="36"/>
          <w:lang w:val="en-US" w:eastAsia="zh-CN" w:bidi="ar-SA"/>
        </w:rPr>
        <w:t>第三章  采购程序和成交标准</w:t>
      </w:r>
    </w:p>
    <w:p w14:paraId="2F8001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p>
    <w:p w14:paraId="2E0F0D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采购办</w:t>
      </w:r>
      <w:r>
        <w:rPr>
          <w:rFonts w:hint="eastAsia" w:ascii="仿宋" w:hAnsi="仿宋" w:eastAsia="仿宋" w:cs="仿宋"/>
          <w:color w:val="auto"/>
          <w:sz w:val="32"/>
          <w:szCs w:val="32"/>
        </w:rPr>
        <w:t>将根据</w:t>
      </w:r>
      <w:r>
        <w:rPr>
          <w:rFonts w:hint="eastAsia" w:ascii="仿宋" w:hAnsi="仿宋" w:eastAsia="仿宋" w:cs="仿宋"/>
          <w:color w:val="auto"/>
          <w:sz w:val="32"/>
          <w:szCs w:val="32"/>
          <w:lang w:eastAsia="zh-CN"/>
        </w:rPr>
        <w:t>采购邀请</w:t>
      </w:r>
      <w:r>
        <w:rPr>
          <w:rFonts w:hint="eastAsia" w:ascii="仿宋" w:hAnsi="仿宋" w:eastAsia="仿宋" w:cs="仿宋"/>
          <w:color w:val="auto"/>
          <w:sz w:val="32"/>
          <w:szCs w:val="32"/>
        </w:rPr>
        <w:t>中规定的递交文件截止时间前接受供应商响应文件，并按以下程序组织</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w:t>
      </w:r>
    </w:p>
    <w:p w14:paraId="77FB99C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一、组织</w:t>
      </w:r>
      <w:r>
        <w:rPr>
          <w:rFonts w:hint="eastAsia" w:ascii="仿宋" w:hAnsi="仿宋" w:eastAsia="仿宋" w:cs="仿宋"/>
          <w:color w:val="auto"/>
          <w:sz w:val="32"/>
          <w:szCs w:val="32"/>
          <w:lang w:eastAsia="zh-CN"/>
        </w:rPr>
        <w:t>采购评审</w:t>
      </w:r>
      <w:r>
        <w:rPr>
          <w:rFonts w:hint="eastAsia" w:ascii="仿宋" w:hAnsi="仿宋" w:eastAsia="仿宋" w:cs="仿宋"/>
          <w:color w:val="auto"/>
          <w:sz w:val="32"/>
          <w:szCs w:val="32"/>
        </w:rPr>
        <w:t>对供应商递交的响应文件进行资格审查和符合性审查。</w:t>
      </w:r>
    </w:p>
    <w:p w14:paraId="3649028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二、通过资格审查和符合性审查供应商数量不足三家的，本次采购活动终止。</w:t>
      </w:r>
    </w:p>
    <w:p w14:paraId="21B4DE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出现但不限于下列情况之一的，其响应文件将被视为无效文件不予通过资格审查和符合性审查：</w:t>
      </w:r>
    </w:p>
    <w:p w14:paraId="2D1FE5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资格不符合要求的；</w:t>
      </w:r>
    </w:p>
    <w:p w14:paraId="44EE35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响应文件未实质性响应</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文件要求的；</w:t>
      </w:r>
    </w:p>
    <w:p w14:paraId="04AF29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响应文件无法定代表人签字，或签字人未被法定代表人授权的</w:t>
      </w:r>
      <w:r>
        <w:rPr>
          <w:rFonts w:hint="eastAsia" w:ascii="仿宋" w:hAnsi="仿宋" w:eastAsia="仿宋" w:cs="仿宋"/>
          <w:color w:val="auto"/>
          <w:sz w:val="32"/>
          <w:szCs w:val="32"/>
          <w:lang w:eastAsia="zh-CN"/>
        </w:rPr>
        <w:t>；</w:t>
      </w:r>
    </w:p>
    <w:p w14:paraId="466F1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所报总价超出项目预算且无法支付的；</w:t>
      </w:r>
    </w:p>
    <w:p w14:paraId="2FB8F3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不同</w:t>
      </w:r>
      <w:r>
        <w:rPr>
          <w:rFonts w:hint="eastAsia" w:ascii="仿宋" w:hAnsi="仿宋" w:eastAsia="仿宋" w:cs="仿宋"/>
          <w:color w:val="auto"/>
          <w:kern w:val="0"/>
          <w:sz w:val="32"/>
          <w:szCs w:val="32"/>
        </w:rPr>
        <w:t>供应商负责人为同一人或者存在直接控股、管理关系的；</w:t>
      </w:r>
    </w:p>
    <w:p w14:paraId="70D37B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负偏离。</w:t>
      </w:r>
    </w:p>
    <w:p w14:paraId="68C4AF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的任何一方不得透露与</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有关的其他供应商的技术资料、价格和其他信息。</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轮次一般为一轮（评审</w:t>
      </w:r>
      <w:r>
        <w:rPr>
          <w:rFonts w:hint="eastAsia" w:ascii="仿宋" w:hAnsi="仿宋" w:eastAsia="仿宋" w:cs="仿宋"/>
          <w:color w:val="auto"/>
          <w:sz w:val="32"/>
          <w:szCs w:val="32"/>
          <w:lang w:eastAsia="zh-CN"/>
        </w:rPr>
        <w:t>小组</w:t>
      </w:r>
      <w:r>
        <w:rPr>
          <w:rFonts w:hint="eastAsia" w:ascii="仿宋" w:hAnsi="仿宋" w:eastAsia="仿宋" w:cs="仿宋"/>
          <w:color w:val="auto"/>
          <w:sz w:val="32"/>
          <w:szCs w:val="32"/>
        </w:rPr>
        <w:t>可根据</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情况调整轮次）。如供应商在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过程中存在违法、违纪行为，</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将不允许其参加最后报价。</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结束后，</w:t>
      </w:r>
      <w:r>
        <w:rPr>
          <w:rFonts w:hint="eastAsia" w:ascii="仿宋" w:hAnsi="仿宋" w:eastAsia="仿宋" w:cs="仿宋"/>
          <w:color w:val="auto"/>
          <w:sz w:val="32"/>
          <w:szCs w:val="32"/>
          <w:lang w:eastAsia="zh-CN"/>
        </w:rPr>
        <w:t>评审小组要求供应商现场进行</w:t>
      </w:r>
      <w:r>
        <w:rPr>
          <w:rFonts w:hint="eastAsia" w:ascii="仿宋" w:hAnsi="仿宋" w:eastAsia="仿宋" w:cs="仿宋"/>
          <w:color w:val="auto"/>
          <w:sz w:val="32"/>
          <w:szCs w:val="32"/>
        </w:rPr>
        <w:t>最终报价</w:t>
      </w:r>
      <w:r>
        <w:rPr>
          <w:rFonts w:hint="eastAsia" w:ascii="仿宋" w:hAnsi="仿宋" w:eastAsia="仿宋" w:cs="仿宋"/>
          <w:color w:val="auto"/>
          <w:sz w:val="32"/>
          <w:szCs w:val="32"/>
          <w:lang w:eastAsia="zh-CN"/>
        </w:rPr>
        <w:t>填报后</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根据符合采购需求、质量和服务相等且报价最低的原则推荐成交候选供应商，由采购人授权</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确认成交供应商，</w:t>
      </w:r>
      <w:r>
        <w:rPr>
          <w:rFonts w:hint="eastAsia" w:ascii="仿宋" w:hAnsi="仿宋" w:eastAsia="仿宋" w:cs="仿宋"/>
          <w:color w:val="auto"/>
          <w:sz w:val="32"/>
          <w:szCs w:val="32"/>
          <w:lang w:eastAsia="zh-CN"/>
        </w:rPr>
        <w:t>采购办</w:t>
      </w:r>
      <w:r>
        <w:rPr>
          <w:rFonts w:hint="eastAsia" w:ascii="仿宋" w:hAnsi="仿宋" w:eastAsia="仿宋" w:cs="仿宋"/>
          <w:color w:val="auto"/>
          <w:sz w:val="32"/>
          <w:szCs w:val="32"/>
        </w:rPr>
        <w:t>于</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个工作日内在</w:t>
      </w:r>
      <w:r>
        <w:rPr>
          <w:rFonts w:hint="eastAsia" w:ascii="仿宋" w:hAnsi="仿宋" w:eastAsia="仿宋" w:cs="仿宋"/>
          <w:color w:val="auto"/>
          <w:sz w:val="32"/>
          <w:szCs w:val="32"/>
          <w:lang w:eastAsia="zh-CN"/>
        </w:rPr>
        <w:t>乐山市五通桥区人民医院</w:t>
      </w:r>
      <w:r>
        <w:rPr>
          <w:rFonts w:hint="eastAsia" w:ascii="仿宋" w:hAnsi="仿宋" w:eastAsia="仿宋" w:cs="仿宋"/>
          <w:color w:val="auto"/>
          <w:sz w:val="32"/>
          <w:szCs w:val="32"/>
          <w:lang w:val="en-US" w:eastAsia="zh-CN"/>
        </w:rPr>
        <w:t>网</w:t>
      </w:r>
      <w:r>
        <w:rPr>
          <w:rFonts w:hint="eastAsia" w:ascii="仿宋" w:hAnsi="仿宋" w:eastAsia="仿宋" w:cs="仿宋"/>
          <w:color w:val="auto"/>
          <w:sz w:val="32"/>
          <w:szCs w:val="32"/>
        </w:rPr>
        <w:t>上公告成交结果。</w:t>
      </w:r>
    </w:p>
    <w:p w14:paraId="0E2BEE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四、成交标准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按</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最终报价为依据（未组织</w:t>
      </w:r>
      <w:r>
        <w:rPr>
          <w:rFonts w:hint="eastAsia" w:ascii="仿宋" w:hAnsi="仿宋" w:eastAsia="仿宋" w:cs="仿宋"/>
          <w:color w:val="auto"/>
          <w:sz w:val="32"/>
          <w:szCs w:val="32"/>
          <w:lang w:val="en-US" w:eastAsia="zh-CN"/>
        </w:rPr>
        <w:t>二次报价</w:t>
      </w:r>
      <w:r>
        <w:rPr>
          <w:rFonts w:hint="eastAsia" w:ascii="仿宋" w:hAnsi="仿宋" w:eastAsia="仿宋" w:cs="仿宋"/>
          <w:color w:val="auto"/>
          <w:sz w:val="32"/>
          <w:szCs w:val="32"/>
        </w:rPr>
        <w:t>的，以报价响应文件中的报价为依据），体现满足采购项目要求</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且报价最低原则确定成交供应商。</w:t>
      </w:r>
    </w:p>
    <w:p w14:paraId="091173C2">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auto"/>
          <w:sz w:val="32"/>
          <w:szCs w:val="32"/>
          <w:lang w:val="en-US" w:eastAsia="zh-CN"/>
        </w:rPr>
        <w:t>组织</w:t>
      </w:r>
      <w:r>
        <w:rPr>
          <w:rFonts w:hint="eastAsia" w:ascii="仿宋" w:hAnsi="仿宋" w:eastAsia="仿宋" w:cs="仿宋"/>
          <w:color w:val="auto"/>
          <w:sz w:val="32"/>
          <w:szCs w:val="32"/>
        </w:rPr>
        <w:t>评标</w:t>
      </w:r>
      <w:r>
        <w:rPr>
          <w:rFonts w:hint="eastAsia" w:ascii="仿宋" w:hAnsi="仿宋" w:eastAsia="仿宋" w:cs="仿宋"/>
          <w:color w:val="auto"/>
          <w:sz w:val="32"/>
          <w:szCs w:val="32"/>
          <w:lang w:val="en-US" w:eastAsia="zh-CN"/>
        </w:rPr>
        <w:t>小组</w:t>
      </w:r>
      <w:r>
        <w:rPr>
          <w:rFonts w:hint="eastAsia" w:ascii="仿宋" w:hAnsi="仿宋" w:eastAsia="仿宋" w:cs="仿宋"/>
          <w:color w:val="auto"/>
          <w:sz w:val="32"/>
          <w:szCs w:val="32"/>
        </w:rPr>
        <w:t>按照采取随机抽取方式确定</w:t>
      </w:r>
      <w:r>
        <w:rPr>
          <w:rFonts w:hint="eastAsia" w:ascii="仿宋" w:hAnsi="仿宋" w:eastAsia="仿宋" w:cs="仿宋"/>
          <w:color w:val="auto"/>
          <w:sz w:val="32"/>
          <w:szCs w:val="32"/>
          <w:lang w:val="en-US" w:eastAsia="zh-CN"/>
        </w:rPr>
        <w:t>第一候选人</w:t>
      </w:r>
      <w:r>
        <w:rPr>
          <w:rFonts w:hint="eastAsia" w:ascii="仿宋" w:hAnsi="仿宋" w:eastAsia="仿宋" w:cs="仿宋"/>
          <w:color w:val="auto"/>
          <w:sz w:val="32"/>
          <w:szCs w:val="32"/>
        </w:rPr>
        <w:t>，其他投标无效。</w:t>
      </w:r>
    </w:p>
    <w:p w14:paraId="2BBA66FB">
      <w:pPr>
        <w:ind w:firstLine="640" w:firstLineChars="200"/>
        <w:jc w:val="left"/>
        <w:rPr>
          <w:rFonts w:hint="default" w:eastAsia="仿宋"/>
          <w:color w:val="auto"/>
          <w:lang w:val="en-US" w:eastAsia="zh-CN"/>
        </w:rPr>
      </w:pPr>
      <w:r>
        <w:rPr>
          <w:rFonts w:hint="eastAsia" w:ascii="仿宋" w:hAnsi="仿宋" w:eastAsia="仿宋" w:cs="仿宋"/>
          <w:color w:val="auto"/>
          <w:sz w:val="32"/>
          <w:szCs w:val="32"/>
          <w:lang w:val="en-US" w:eastAsia="zh-CN"/>
        </w:rPr>
        <w:t>采用</w:t>
      </w:r>
      <w:r>
        <w:rPr>
          <w:rFonts w:hint="eastAsia" w:ascii="仿宋" w:hAnsi="仿宋" w:eastAsia="仿宋" w:cs="仿宋"/>
          <w:color w:val="auto"/>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auto"/>
          <w:sz w:val="32"/>
          <w:szCs w:val="32"/>
          <w:lang w:val="en-US" w:eastAsia="zh-CN"/>
        </w:rPr>
        <w:t>则价格最低的供应商</w:t>
      </w:r>
      <w:r>
        <w:rPr>
          <w:rFonts w:hint="eastAsia" w:ascii="仿宋" w:hAnsi="仿宋" w:eastAsia="仿宋" w:cs="仿宋"/>
          <w:color w:val="auto"/>
          <w:sz w:val="32"/>
          <w:szCs w:val="32"/>
        </w:rPr>
        <w:t>确定</w:t>
      </w:r>
      <w:r>
        <w:rPr>
          <w:rFonts w:hint="eastAsia" w:ascii="仿宋" w:hAnsi="仿宋" w:eastAsia="仿宋" w:cs="仿宋"/>
          <w:color w:val="auto"/>
          <w:sz w:val="32"/>
          <w:szCs w:val="32"/>
          <w:lang w:val="en-US" w:eastAsia="zh-CN"/>
        </w:rPr>
        <w:t>第一候选人。价格也相同时，</w:t>
      </w:r>
      <w:r>
        <w:rPr>
          <w:rFonts w:hint="eastAsia" w:ascii="仿宋" w:hAnsi="仿宋" w:eastAsia="仿宋" w:cs="仿宋"/>
          <w:color w:val="auto"/>
          <w:sz w:val="32"/>
          <w:szCs w:val="32"/>
        </w:rPr>
        <w:t>由采购人</w:t>
      </w:r>
      <w:r>
        <w:rPr>
          <w:rFonts w:hint="eastAsia" w:ascii="仿宋" w:hAnsi="仿宋" w:eastAsia="仿宋" w:cs="仿宋"/>
          <w:color w:val="auto"/>
          <w:sz w:val="32"/>
          <w:szCs w:val="32"/>
          <w:lang w:val="en-US" w:eastAsia="zh-CN"/>
        </w:rPr>
        <w:t>组织</w:t>
      </w:r>
      <w:r>
        <w:rPr>
          <w:rFonts w:hint="eastAsia" w:ascii="仿宋" w:hAnsi="仿宋" w:eastAsia="仿宋" w:cs="仿宋"/>
          <w:color w:val="auto"/>
          <w:sz w:val="32"/>
          <w:szCs w:val="32"/>
        </w:rPr>
        <w:t>评标</w:t>
      </w:r>
      <w:r>
        <w:rPr>
          <w:rFonts w:hint="eastAsia" w:ascii="仿宋" w:hAnsi="仿宋" w:eastAsia="仿宋" w:cs="仿宋"/>
          <w:color w:val="auto"/>
          <w:sz w:val="32"/>
          <w:szCs w:val="32"/>
          <w:lang w:val="en-US" w:eastAsia="zh-CN"/>
        </w:rPr>
        <w:t>小组</w:t>
      </w:r>
      <w:r>
        <w:rPr>
          <w:rFonts w:hint="eastAsia" w:ascii="仿宋" w:hAnsi="仿宋" w:eastAsia="仿宋" w:cs="仿宋"/>
          <w:color w:val="auto"/>
          <w:sz w:val="32"/>
          <w:szCs w:val="32"/>
        </w:rPr>
        <w:t>按照采取随机抽取方式确定</w:t>
      </w:r>
      <w:r>
        <w:rPr>
          <w:rFonts w:hint="eastAsia" w:ascii="仿宋" w:hAnsi="仿宋" w:eastAsia="仿宋" w:cs="仿宋"/>
          <w:color w:val="auto"/>
          <w:sz w:val="32"/>
          <w:szCs w:val="32"/>
          <w:lang w:val="en-US" w:eastAsia="zh-CN"/>
        </w:rPr>
        <w:t>第一候选人</w:t>
      </w:r>
      <w:r>
        <w:rPr>
          <w:rFonts w:hint="eastAsia" w:ascii="仿宋" w:hAnsi="仿宋" w:eastAsia="仿宋" w:cs="仿宋"/>
          <w:color w:val="auto"/>
          <w:sz w:val="32"/>
          <w:szCs w:val="32"/>
        </w:rPr>
        <w:t>，其他投标无效。</w:t>
      </w:r>
    </w:p>
    <w:p w14:paraId="2432D0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eastAsia="zh-CN"/>
        </w:rPr>
        <w:t>院内采购评审小组</w:t>
      </w:r>
      <w:r>
        <w:rPr>
          <w:rFonts w:hint="eastAsia" w:ascii="仿宋" w:hAnsi="仿宋" w:eastAsia="仿宋" w:cs="仿宋"/>
          <w:color w:val="auto"/>
          <w:sz w:val="32"/>
          <w:szCs w:val="32"/>
        </w:rPr>
        <w:t>的组建。</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依法由三人</w:t>
      </w:r>
      <w:r>
        <w:rPr>
          <w:rFonts w:hint="eastAsia" w:ascii="仿宋" w:hAnsi="仿宋" w:eastAsia="仿宋" w:cs="仿宋"/>
          <w:color w:val="auto"/>
          <w:sz w:val="32"/>
          <w:szCs w:val="32"/>
          <w:lang w:eastAsia="zh-CN"/>
        </w:rPr>
        <w:t>及</w:t>
      </w:r>
      <w:r>
        <w:rPr>
          <w:rFonts w:hint="eastAsia" w:ascii="仿宋" w:hAnsi="仿宋" w:eastAsia="仿宋" w:cs="仿宋"/>
          <w:color w:val="auto"/>
          <w:sz w:val="32"/>
          <w:szCs w:val="32"/>
        </w:rPr>
        <w:t>以上单数组成。</w:t>
      </w:r>
    </w:p>
    <w:p w14:paraId="2D517F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低于成本价不正当竞争预防措施</w:t>
      </w:r>
    </w:p>
    <w:p w14:paraId="2B2F65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在评审过程中，供应商报价明显低于其他有效供应商报价，有可能影响产品质量或者不能诚信履约的，</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小组应当要求其在</w:t>
      </w:r>
      <w:r>
        <w:rPr>
          <w:rFonts w:hint="eastAsia" w:ascii="仿宋" w:hAnsi="仿宋" w:eastAsia="仿宋" w:cs="仿宋"/>
          <w:color w:val="auto"/>
          <w:sz w:val="32"/>
          <w:szCs w:val="32"/>
          <w:lang w:val="en-US" w:eastAsia="zh-CN"/>
        </w:rPr>
        <w:t>半</w:t>
      </w:r>
      <w:r>
        <w:rPr>
          <w:rFonts w:hint="eastAsia" w:ascii="仿宋" w:hAnsi="仿宋" w:eastAsia="仿宋" w:cs="仿宋"/>
          <w:color w:val="auto"/>
          <w:sz w:val="32"/>
          <w:szCs w:val="32"/>
        </w:rPr>
        <w:t>小时内提供书面说明，并提交相关证明材料，供应商不能证明其报价合理性的，</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小组应当将其作为无效处理。</w:t>
      </w:r>
    </w:p>
    <w:p w14:paraId="7FB8D4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74CD86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供应商书面说明应当签字确认或者加盖公章，否则无效。书面说明的签字确认，由其法定代表人/主要负责人/本人或者其授权代表签字确认。</w:t>
      </w:r>
    </w:p>
    <w:p w14:paraId="11FD72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供应商提供书面说明后，</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小组应当将其响应文件作为无效处理。</w:t>
      </w:r>
    </w:p>
    <w:p w14:paraId="47EAEE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工作纪律和注意事项。在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活动中，供应商、</w:t>
      </w:r>
      <w:r>
        <w:rPr>
          <w:rFonts w:hint="eastAsia" w:ascii="仿宋" w:hAnsi="仿宋" w:eastAsia="仿宋" w:cs="仿宋"/>
          <w:color w:val="auto"/>
          <w:sz w:val="32"/>
          <w:szCs w:val="32"/>
          <w:lang w:eastAsia="zh-CN"/>
        </w:rPr>
        <w:t>评审</w:t>
      </w:r>
      <w:r>
        <w:rPr>
          <w:rFonts w:hint="eastAsia" w:ascii="仿宋" w:hAnsi="仿宋" w:eastAsia="仿宋" w:cs="仿宋"/>
          <w:color w:val="auto"/>
          <w:sz w:val="32"/>
          <w:szCs w:val="32"/>
        </w:rPr>
        <w:t>成员、组织</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工作的有关工作人员应严格遵守相关纪律规定，注意以下事项：</w:t>
      </w:r>
    </w:p>
    <w:p w14:paraId="321478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不得泄露</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活动在应当保密的情况和资料，不得与供应商串通损害国家利益、社会公共利益或者他人合法权益。</w:t>
      </w:r>
    </w:p>
    <w:p w14:paraId="4AC6F6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供应商不得相互串通报价；不得向</w:t>
      </w:r>
      <w:r>
        <w:rPr>
          <w:rFonts w:hint="eastAsia" w:ascii="仿宋" w:hAnsi="仿宋" w:eastAsia="仿宋" w:cs="仿宋"/>
          <w:color w:val="auto"/>
          <w:sz w:val="32"/>
          <w:szCs w:val="32"/>
          <w:lang w:eastAsia="zh-CN"/>
        </w:rPr>
        <w:t>评审</w:t>
      </w:r>
      <w:r>
        <w:rPr>
          <w:rFonts w:hint="eastAsia" w:ascii="仿宋" w:hAnsi="仿宋" w:eastAsia="仿宋" w:cs="仿宋"/>
          <w:color w:val="auto"/>
          <w:sz w:val="32"/>
          <w:szCs w:val="32"/>
        </w:rPr>
        <w:t>成员行贿谋取成交；不得以他人名义或者其他方式弄虚作假骗取成交；不得以任何方式干扰、影响</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w:t>
      </w:r>
    </w:p>
    <w:p w14:paraId="6389F7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评审</w:t>
      </w:r>
      <w:r>
        <w:rPr>
          <w:rFonts w:hint="eastAsia" w:ascii="仿宋" w:hAnsi="仿宋" w:eastAsia="仿宋" w:cs="仿宋"/>
          <w:color w:val="auto"/>
          <w:sz w:val="32"/>
          <w:szCs w:val="32"/>
        </w:rPr>
        <w:t>成员不得收受他人财物或者其他好处，不得向他人透露</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活动中的各个细节和标准情况。在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活动中，不得擅离职守，影响</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活动的进行，不得使用本</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文件规定以外的因素和标准进行评审、比较。</w:t>
      </w:r>
    </w:p>
    <w:p w14:paraId="28ED5D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auto"/>
          <w:sz w:val="24"/>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组织</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的工作人员不得收受他人的财物或者其他好处，不得向他人透露</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活动中各有关细节及推荐评审情况。在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活动中不得擅离职守，影响</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活动的正常进行。</w:t>
      </w:r>
    </w:p>
    <w:p w14:paraId="015F6023">
      <w:pPr>
        <w:pStyle w:val="7"/>
        <w:ind w:left="0" w:leftChars="0" w:firstLine="0" w:firstLineChars="0"/>
        <w:rPr>
          <w:rFonts w:hint="eastAsia" w:ascii="黑体" w:hAnsi="黑体" w:eastAsia="黑体" w:cs="黑体"/>
          <w:color w:val="auto"/>
          <w:lang w:eastAsia="zh-CN"/>
        </w:rPr>
      </w:pPr>
    </w:p>
    <w:p w14:paraId="313622CD">
      <w:pPr>
        <w:rPr>
          <w:rFonts w:hint="eastAsia" w:ascii="黑体" w:hAnsi="黑体" w:eastAsia="黑体" w:cs="黑体"/>
          <w:color w:val="auto"/>
          <w:lang w:val="en-US" w:eastAsia="zh-CN"/>
        </w:rPr>
      </w:pPr>
    </w:p>
    <w:p w14:paraId="05D22D78">
      <w:pPr>
        <w:rPr>
          <w:rFonts w:hint="eastAsia" w:ascii="黑体" w:hAnsi="黑体" w:eastAsia="黑体" w:cs="黑体"/>
          <w:b/>
          <w:color w:val="auto"/>
          <w:sz w:val="48"/>
          <w:szCs w:val="48"/>
          <w:u w:val="single"/>
        </w:rPr>
      </w:pPr>
      <w:r>
        <w:rPr>
          <w:rFonts w:hint="eastAsia" w:ascii="黑体" w:hAnsi="黑体" w:eastAsia="黑体" w:cs="黑体"/>
          <w:b/>
          <w:color w:val="auto"/>
          <w:sz w:val="48"/>
          <w:szCs w:val="48"/>
          <w:u w:val="single"/>
        </w:rPr>
        <w:br w:type="page"/>
      </w:r>
    </w:p>
    <w:p w14:paraId="051E9A29">
      <w:pPr>
        <w:spacing w:line="360" w:lineRule="auto"/>
        <w:jc w:val="left"/>
        <w:rPr>
          <w:rFonts w:hint="eastAsia" w:ascii="黑体" w:hAnsi="黑体" w:eastAsia="黑体" w:cs="黑体"/>
          <w:b/>
          <w:color w:val="auto"/>
          <w:sz w:val="48"/>
          <w:szCs w:val="48"/>
          <w:lang w:val="en-US" w:eastAsia="zh-CN"/>
        </w:rPr>
      </w:pPr>
      <w:r>
        <w:rPr>
          <w:rFonts w:hint="eastAsia" w:ascii="黑体" w:hAnsi="黑体" w:eastAsia="黑体" w:cs="黑体"/>
          <w:b/>
          <w:color w:val="auto"/>
          <w:sz w:val="48"/>
          <w:szCs w:val="48"/>
          <w:lang w:val="en-US" w:eastAsia="zh-CN"/>
        </w:rPr>
        <w:t>（采购封面）</w:t>
      </w:r>
    </w:p>
    <w:p w14:paraId="55C87371">
      <w:pPr>
        <w:spacing w:line="360" w:lineRule="auto"/>
        <w:jc w:val="center"/>
        <w:rPr>
          <w:rFonts w:hint="eastAsia" w:ascii="黑体" w:hAnsi="黑体" w:eastAsia="黑体" w:cs="黑体"/>
          <w:b/>
          <w:color w:val="auto"/>
          <w:sz w:val="48"/>
          <w:szCs w:val="48"/>
          <w:lang w:eastAsia="zh-CN"/>
        </w:rPr>
      </w:pPr>
      <w:r>
        <w:rPr>
          <w:rFonts w:hint="eastAsia" w:ascii="黑体" w:hAnsi="黑体" w:eastAsia="黑体" w:cs="黑体"/>
          <w:b/>
          <w:color w:val="auto"/>
          <w:sz w:val="48"/>
          <w:szCs w:val="48"/>
          <w:lang w:val="en-US" w:eastAsia="zh-CN"/>
        </w:rPr>
        <w:t>乐山市五通桥区人民医院采购项目</w:t>
      </w:r>
    </w:p>
    <w:p w14:paraId="724E6C68">
      <w:pPr>
        <w:spacing w:line="400" w:lineRule="exact"/>
        <w:ind w:firstLine="4897" w:firstLineChars="583"/>
        <w:rPr>
          <w:rFonts w:hint="eastAsia" w:ascii="黑体" w:hAnsi="黑体" w:eastAsia="黑体" w:cs="黑体"/>
          <w:color w:val="auto"/>
          <w:sz w:val="84"/>
          <w:szCs w:val="84"/>
          <w:lang w:eastAsia="zh-CN"/>
        </w:rPr>
      </w:pPr>
    </w:p>
    <w:p w14:paraId="5E7EE96D">
      <w:pPr>
        <w:pStyle w:val="5"/>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采购文件</w:t>
      </w:r>
    </w:p>
    <w:p w14:paraId="6FE91240">
      <w:pPr>
        <w:rPr>
          <w:rFonts w:hint="eastAsia" w:ascii="黑体" w:hAnsi="黑体" w:eastAsia="黑体" w:cs="黑体"/>
          <w:color w:val="auto"/>
          <w:sz w:val="84"/>
          <w:szCs w:val="84"/>
          <w:lang w:val="en-US" w:eastAsia="zh-CN"/>
        </w:rPr>
      </w:pPr>
    </w:p>
    <w:p w14:paraId="65B839F2">
      <w:pPr>
        <w:pStyle w:val="5"/>
        <w:rPr>
          <w:rFonts w:hint="eastAsia" w:ascii="黑体" w:hAnsi="黑体" w:eastAsia="黑体" w:cs="黑体"/>
          <w:color w:val="auto"/>
          <w:lang w:val="en-US" w:eastAsia="zh-CN"/>
        </w:rPr>
      </w:pPr>
    </w:p>
    <w:p w14:paraId="24147955">
      <w:pPr>
        <w:spacing w:line="400" w:lineRule="exact"/>
        <w:ind w:firstLine="4897" w:firstLineChars="583"/>
        <w:rPr>
          <w:rFonts w:hint="eastAsia" w:ascii="黑体" w:hAnsi="黑体" w:eastAsia="黑体" w:cs="黑体"/>
          <w:color w:val="auto"/>
          <w:sz w:val="84"/>
          <w:szCs w:val="84"/>
        </w:rPr>
      </w:pPr>
    </w:p>
    <w:p w14:paraId="03B0BC2C">
      <w:pPr>
        <w:spacing w:line="400" w:lineRule="exact"/>
        <w:ind w:firstLine="4897" w:firstLineChars="583"/>
        <w:rPr>
          <w:rFonts w:hint="eastAsia" w:ascii="黑体" w:hAnsi="黑体" w:eastAsia="黑体" w:cs="黑体"/>
          <w:color w:val="auto"/>
          <w:sz w:val="84"/>
          <w:szCs w:val="84"/>
        </w:rPr>
      </w:pPr>
    </w:p>
    <w:p w14:paraId="44CCBE24">
      <w:pPr>
        <w:spacing w:line="400" w:lineRule="exact"/>
        <w:rPr>
          <w:rFonts w:hint="eastAsia" w:ascii="黑体" w:hAnsi="黑体" w:eastAsia="黑体" w:cs="黑体"/>
          <w:b/>
          <w:bCs/>
          <w:color w:val="auto"/>
          <w:sz w:val="30"/>
          <w:szCs w:val="30"/>
        </w:rPr>
      </w:pPr>
    </w:p>
    <w:p w14:paraId="203C3763">
      <w:pPr>
        <w:widowControl w:val="0"/>
        <w:adjustRightInd/>
        <w:spacing w:line="360" w:lineRule="auto"/>
        <w:rPr>
          <w:rFonts w:hint="eastAsia" w:ascii="黑体" w:hAnsi="黑体" w:eastAsia="黑体" w:cs="黑体"/>
          <w:b/>
          <w:color w:val="auto"/>
          <w:sz w:val="32"/>
          <w:szCs w:val="32"/>
          <w:u w:val="single"/>
        </w:rPr>
      </w:pPr>
      <w:r>
        <w:rPr>
          <w:rFonts w:hint="eastAsia" w:ascii="黑体" w:hAnsi="黑体" w:eastAsia="黑体" w:cs="黑体"/>
          <w:b/>
          <w:bCs/>
          <w:color w:val="auto"/>
          <w:sz w:val="32"/>
          <w:szCs w:val="32"/>
        </w:rPr>
        <w:t>项目名称：</w:t>
      </w:r>
      <w:r>
        <w:rPr>
          <w:rFonts w:hint="eastAsia" w:ascii="黑体" w:hAnsi="黑体" w:eastAsia="黑体" w:cs="黑体"/>
          <w:b/>
          <w:color w:val="auto"/>
          <w:sz w:val="32"/>
          <w:szCs w:val="32"/>
          <w:u w:val="single"/>
        </w:rPr>
        <w:t xml:space="preserve">                               </w:t>
      </w:r>
    </w:p>
    <w:p w14:paraId="6D849B8D">
      <w:pPr>
        <w:widowControl w:val="0"/>
        <w:adjustRightInd/>
        <w:spacing w:line="360" w:lineRule="auto"/>
        <w:rPr>
          <w:rFonts w:hint="default" w:ascii="黑体" w:hAnsi="黑体" w:eastAsia="黑体" w:cs="黑体"/>
          <w:b/>
          <w:color w:val="auto"/>
          <w:sz w:val="32"/>
          <w:szCs w:val="32"/>
          <w:u w:val="single"/>
          <w:lang w:val="en-US" w:eastAsia="zh-CN"/>
        </w:rPr>
      </w:pPr>
      <w:r>
        <w:rPr>
          <w:rFonts w:hint="eastAsia" w:ascii="黑体" w:hAnsi="黑体" w:eastAsia="黑体" w:cs="黑体"/>
          <w:b/>
          <w:bCs/>
          <w:color w:val="auto"/>
          <w:sz w:val="32"/>
          <w:szCs w:val="32"/>
          <w:lang w:val="en-US" w:eastAsia="zh-CN"/>
        </w:rPr>
        <w:t>项目编号：</w:t>
      </w:r>
      <w:r>
        <w:rPr>
          <w:rFonts w:hint="eastAsia" w:ascii="黑体" w:hAnsi="黑体" w:eastAsia="黑体" w:cs="黑体"/>
          <w:b/>
          <w:color w:val="auto"/>
          <w:sz w:val="32"/>
          <w:szCs w:val="32"/>
          <w:u w:val="single"/>
          <w:lang w:val="en-US" w:eastAsia="zh-CN"/>
        </w:rPr>
        <w:t xml:space="preserve">                            </w:t>
      </w:r>
    </w:p>
    <w:p w14:paraId="45786B23">
      <w:pPr>
        <w:widowControl w:val="0"/>
        <w:adjustRightInd/>
        <w:spacing w:line="360" w:lineRule="auto"/>
        <w:rPr>
          <w:rFonts w:hint="eastAsia" w:ascii="黑体" w:hAnsi="黑体" w:eastAsia="黑体" w:cs="黑体"/>
          <w:b/>
          <w:bCs/>
          <w:color w:val="auto"/>
          <w:sz w:val="32"/>
          <w:szCs w:val="32"/>
          <w:u w:val="single"/>
        </w:rPr>
      </w:pPr>
      <w:r>
        <w:rPr>
          <w:rFonts w:hint="eastAsia" w:ascii="黑体" w:hAnsi="黑体" w:eastAsia="黑体" w:cs="黑体"/>
          <w:b/>
          <w:bCs/>
          <w:color w:val="auto"/>
          <w:sz w:val="32"/>
          <w:szCs w:val="32"/>
          <w:lang w:eastAsia="zh-CN"/>
        </w:rPr>
        <w:t>供应</w:t>
      </w:r>
      <w:r>
        <w:rPr>
          <w:rFonts w:hint="eastAsia" w:ascii="黑体" w:hAnsi="黑体" w:eastAsia="黑体" w:cs="黑体"/>
          <w:b/>
          <w:bCs/>
          <w:color w:val="auto"/>
          <w:sz w:val="32"/>
          <w:szCs w:val="32"/>
        </w:rPr>
        <w:t>商名称</w:t>
      </w:r>
      <w:r>
        <w:rPr>
          <w:rFonts w:hint="eastAsia" w:ascii="黑体" w:hAnsi="黑体" w:eastAsia="黑体" w:cs="黑体"/>
          <w:b/>
          <w:color w:val="auto"/>
          <w:sz w:val="32"/>
          <w:szCs w:val="32"/>
        </w:rPr>
        <w:t xml:space="preserve">： </w:t>
      </w:r>
      <w:r>
        <w:rPr>
          <w:rFonts w:hint="eastAsia" w:ascii="黑体" w:hAnsi="黑体" w:eastAsia="黑体" w:cs="黑体"/>
          <w:color w:val="auto"/>
          <w:sz w:val="32"/>
          <w:szCs w:val="32"/>
          <w:u w:val="single"/>
        </w:rPr>
        <w:t xml:space="preserve">                     </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single"/>
        </w:rPr>
        <w:t xml:space="preserve">  </w:t>
      </w:r>
      <w:r>
        <w:rPr>
          <w:rFonts w:hint="eastAsia" w:ascii="黑体" w:hAnsi="黑体" w:eastAsia="黑体" w:cs="黑体"/>
          <w:b/>
          <w:bCs/>
          <w:color w:val="auto"/>
          <w:sz w:val="32"/>
          <w:szCs w:val="32"/>
        </w:rPr>
        <w:t>（盖章）</w:t>
      </w:r>
    </w:p>
    <w:p w14:paraId="00278458">
      <w:pPr>
        <w:widowControl w:val="0"/>
        <w:adjustRightInd/>
        <w:spacing w:line="360" w:lineRule="auto"/>
        <w:rPr>
          <w:rFonts w:hint="default"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联系人及电话：________________________</w:t>
      </w:r>
    </w:p>
    <w:p w14:paraId="11F2C204">
      <w:pPr>
        <w:widowControl w:val="0"/>
        <w:adjustRightInd/>
        <w:spacing w:line="360" w:lineRule="auto"/>
        <w:ind w:firstLine="315" w:firstLineChars="98"/>
        <w:rPr>
          <w:rFonts w:hint="eastAsia" w:ascii="黑体" w:hAnsi="黑体" w:eastAsia="黑体" w:cs="黑体"/>
          <w:b/>
          <w:bCs/>
          <w:color w:val="auto"/>
          <w:sz w:val="32"/>
          <w:szCs w:val="32"/>
        </w:rPr>
      </w:pPr>
    </w:p>
    <w:p w14:paraId="12B15D86">
      <w:pPr>
        <w:widowControl w:val="0"/>
        <w:adjustRightInd/>
        <w:spacing w:line="360" w:lineRule="auto"/>
        <w:ind w:firstLine="3040" w:firstLineChars="950"/>
        <w:rPr>
          <w:rFonts w:hint="eastAsia" w:ascii="黑体" w:hAnsi="黑体" w:eastAsia="黑体" w:cs="黑体"/>
          <w:color w:val="auto"/>
          <w:sz w:val="32"/>
          <w:szCs w:val="32"/>
        </w:rPr>
      </w:pPr>
      <w:r>
        <w:rPr>
          <w:rFonts w:hint="eastAsia" w:ascii="黑体" w:hAnsi="黑体" w:eastAsia="黑体" w:cs="黑体"/>
          <w:color w:val="auto"/>
          <w:sz w:val="32"/>
          <w:szCs w:val="32"/>
          <w:u w:val="single"/>
        </w:rPr>
        <w:t xml:space="preserve">    </w:t>
      </w:r>
      <w:r>
        <w:rPr>
          <w:rFonts w:hint="eastAsia" w:ascii="黑体" w:hAnsi="黑体" w:eastAsia="黑体" w:cs="黑体"/>
          <w:color w:val="auto"/>
          <w:sz w:val="32"/>
          <w:szCs w:val="32"/>
        </w:rPr>
        <w:t>年</w:t>
      </w:r>
      <w:r>
        <w:rPr>
          <w:rFonts w:hint="eastAsia" w:ascii="黑体" w:hAnsi="黑体" w:eastAsia="黑体" w:cs="黑体"/>
          <w:color w:val="auto"/>
          <w:sz w:val="32"/>
          <w:szCs w:val="32"/>
          <w:u w:val="single"/>
        </w:rPr>
        <w:t xml:space="preserve">   </w:t>
      </w:r>
      <w:r>
        <w:rPr>
          <w:rFonts w:hint="eastAsia" w:ascii="黑体" w:hAnsi="黑体" w:eastAsia="黑体" w:cs="黑体"/>
          <w:color w:val="auto"/>
          <w:sz w:val="32"/>
          <w:szCs w:val="32"/>
        </w:rPr>
        <w:t>月</w:t>
      </w:r>
      <w:r>
        <w:rPr>
          <w:rFonts w:hint="eastAsia" w:ascii="黑体" w:hAnsi="黑体" w:eastAsia="黑体" w:cs="黑体"/>
          <w:color w:val="auto"/>
          <w:sz w:val="32"/>
          <w:szCs w:val="32"/>
          <w:u w:val="single"/>
        </w:rPr>
        <w:t xml:space="preserve">   </w:t>
      </w:r>
      <w:r>
        <w:rPr>
          <w:rFonts w:hint="eastAsia" w:ascii="黑体" w:hAnsi="黑体" w:eastAsia="黑体" w:cs="黑体"/>
          <w:color w:val="auto"/>
          <w:sz w:val="32"/>
          <w:szCs w:val="32"/>
        </w:rPr>
        <w:t>日</w:t>
      </w:r>
    </w:p>
    <w:p w14:paraId="0888E0B2">
      <w:pPr>
        <w:rPr>
          <w:rFonts w:hint="eastAsia" w:ascii="黑体" w:hAnsi="黑体" w:eastAsia="黑体" w:cs="黑体"/>
          <w:b/>
          <w:bCs/>
          <w:color w:val="auto"/>
          <w:sz w:val="32"/>
          <w:szCs w:val="32"/>
        </w:rPr>
      </w:pPr>
      <w:bookmarkStart w:id="0" w:name="_Toc25737"/>
      <w:bookmarkStart w:id="1" w:name="_Toc18458"/>
      <w:bookmarkStart w:id="2" w:name="_Toc5773"/>
      <w:bookmarkStart w:id="3" w:name="_Toc9490"/>
      <w:r>
        <w:rPr>
          <w:rFonts w:hint="eastAsia" w:ascii="黑体" w:hAnsi="黑体" w:eastAsia="黑体" w:cs="黑体"/>
          <w:b/>
          <w:bCs/>
          <w:color w:val="auto"/>
          <w:sz w:val="32"/>
          <w:szCs w:val="32"/>
        </w:rPr>
        <w:br w:type="page"/>
      </w:r>
    </w:p>
    <w:bookmarkEnd w:id="0"/>
    <w:bookmarkEnd w:id="1"/>
    <w:bookmarkEnd w:id="2"/>
    <w:bookmarkEnd w:id="3"/>
    <w:p w14:paraId="32BAF489">
      <w:pPr>
        <w:pStyle w:val="5"/>
        <w:jc w:val="center"/>
        <w:rPr>
          <w:rFonts w:hint="eastAsia" w:ascii="黑体" w:hAnsi="黑体" w:eastAsia="黑体" w:cs="黑体"/>
          <w:color w:val="auto"/>
          <w:kern w:val="2"/>
          <w:sz w:val="36"/>
          <w:szCs w:val="36"/>
          <w:lang w:val="en-US" w:eastAsia="zh-CN" w:bidi="ar-SA"/>
        </w:rPr>
      </w:pPr>
      <w:bookmarkStart w:id="4" w:name="_Toc12449"/>
      <w:bookmarkStart w:id="5" w:name="_Toc4003"/>
      <w:bookmarkStart w:id="6" w:name="_Toc439699516"/>
      <w:bookmarkStart w:id="7" w:name="_Toc17549"/>
      <w:r>
        <w:rPr>
          <w:rFonts w:hint="eastAsia" w:ascii="黑体" w:hAnsi="黑体" w:eastAsia="黑体" w:cs="黑体"/>
          <w:color w:val="auto"/>
          <w:kern w:val="2"/>
          <w:sz w:val="36"/>
          <w:szCs w:val="36"/>
          <w:lang w:val="en-US" w:eastAsia="zh-CN" w:bidi="ar-SA"/>
        </w:rPr>
        <w:t>承诺函</w:t>
      </w:r>
    </w:p>
    <w:p w14:paraId="65A6C026">
      <w:pPr>
        <w:pStyle w:val="5"/>
        <w:rPr>
          <w:rFonts w:hint="eastAsia" w:ascii="黑体" w:hAnsi="黑体" w:eastAsia="黑体" w:cs="黑体"/>
          <w:color w:val="auto"/>
          <w:sz w:val="28"/>
          <w:szCs w:val="28"/>
        </w:rPr>
      </w:pPr>
    </w:p>
    <w:p w14:paraId="35A996CF">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rPr>
        <w:t>乐山市</w:t>
      </w:r>
      <w:r>
        <w:rPr>
          <w:rFonts w:hint="eastAsia" w:ascii="仿宋" w:hAnsi="仿宋" w:eastAsia="仿宋" w:cs="仿宋"/>
          <w:color w:val="auto"/>
          <w:spacing w:val="2"/>
          <w:sz w:val="32"/>
          <w:szCs w:val="32"/>
          <w:lang w:eastAsia="zh-CN"/>
        </w:rPr>
        <w:t>五通桥区人民医院</w:t>
      </w:r>
    </w:p>
    <w:p w14:paraId="621E6775">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我方作为本次采购项目的供应商，根据供应商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文件要求，现郑重承诺如下：</w:t>
      </w:r>
    </w:p>
    <w:p w14:paraId="49427B7B">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一、具备本项目规定的条件</w:t>
      </w:r>
    </w:p>
    <w:p w14:paraId="58087352">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lang w:val="en-US" w:eastAsia="zh-CN"/>
        </w:rPr>
        <w:t>1.</w:t>
      </w:r>
      <w:r>
        <w:rPr>
          <w:rFonts w:hint="eastAsia" w:ascii="仿宋" w:hAnsi="仿宋" w:eastAsia="仿宋" w:cs="仿宋"/>
          <w:color w:val="auto"/>
          <w:spacing w:val="2"/>
          <w:sz w:val="32"/>
          <w:szCs w:val="32"/>
        </w:rPr>
        <w:t>具有独立承担民事责任的能力；</w:t>
      </w:r>
    </w:p>
    <w:p w14:paraId="45CA6DF1">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lang w:val="en-US" w:eastAsia="zh-CN"/>
        </w:rPr>
        <w:t>2.</w:t>
      </w:r>
      <w:r>
        <w:rPr>
          <w:rFonts w:hint="eastAsia" w:ascii="仿宋" w:hAnsi="仿宋" w:eastAsia="仿宋" w:cs="仿宋"/>
          <w:color w:val="auto"/>
          <w:spacing w:val="2"/>
          <w:sz w:val="32"/>
          <w:szCs w:val="32"/>
        </w:rPr>
        <w:t>具有良好的商业信誉和健全的财务会计制度；</w:t>
      </w:r>
    </w:p>
    <w:p w14:paraId="57F8FB37">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lang w:val="en-US" w:eastAsia="zh-CN"/>
        </w:rPr>
        <w:t>3.</w:t>
      </w:r>
      <w:r>
        <w:rPr>
          <w:rFonts w:hint="eastAsia" w:ascii="仿宋" w:hAnsi="仿宋" w:eastAsia="仿宋" w:cs="仿宋"/>
          <w:color w:val="auto"/>
          <w:spacing w:val="2"/>
          <w:sz w:val="32"/>
          <w:szCs w:val="32"/>
        </w:rPr>
        <w:t>具有履行合同所必须的设备和专业技术能力；</w:t>
      </w:r>
    </w:p>
    <w:p w14:paraId="442E8C9D">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lang w:val="en-US" w:eastAsia="zh-CN"/>
        </w:rPr>
        <w:t>4.</w:t>
      </w:r>
      <w:r>
        <w:rPr>
          <w:rFonts w:hint="eastAsia" w:ascii="仿宋" w:hAnsi="仿宋" w:eastAsia="仿宋" w:cs="仿宋"/>
          <w:color w:val="auto"/>
          <w:spacing w:val="2"/>
          <w:sz w:val="32"/>
          <w:szCs w:val="32"/>
        </w:rPr>
        <w:t>具有依法缴纳税收和社会保障资金的良好记录；</w:t>
      </w:r>
    </w:p>
    <w:p w14:paraId="16F002D8">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lang w:val="en-US" w:eastAsia="zh-CN"/>
        </w:rPr>
        <w:t>5.</w:t>
      </w:r>
      <w:r>
        <w:rPr>
          <w:rFonts w:hint="eastAsia" w:ascii="仿宋" w:hAnsi="仿宋" w:eastAsia="仿宋" w:cs="仿宋"/>
          <w:color w:val="auto"/>
          <w:spacing w:val="2"/>
          <w:sz w:val="32"/>
          <w:szCs w:val="32"/>
        </w:rPr>
        <w:t>参加本次供应商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活动前三年内，在经营活动中没有重大违法记录；</w:t>
      </w:r>
    </w:p>
    <w:p w14:paraId="6141C7F2">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lang w:val="en-US" w:eastAsia="zh-CN"/>
        </w:rPr>
        <w:t>6.</w:t>
      </w:r>
      <w:r>
        <w:rPr>
          <w:rFonts w:hint="eastAsia" w:ascii="仿宋" w:hAnsi="仿宋" w:eastAsia="仿宋" w:cs="仿宋"/>
          <w:color w:val="auto"/>
          <w:spacing w:val="2"/>
          <w:sz w:val="32"/>
          <w:szCs w:val="32"/>
        </w:rPr>
        <w:t>法律、行政法规规定的其他条件；</w:t>
      </w:r>
    </w:p>
    <w:p w14:paraId="6808C171">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二、我方完全接受本项目供应商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文件中规定的要求，如对供应商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文件有异议，已经在供应商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截止时间届满前依法进行维权，不存在对供应商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文件有异议的同时又参加</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活动以求侥幸成交或者为实现其他非法目的的行为。</w:t>
      </w:r>
    </w:p>
    <w:p w14:paraId="68046A62">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三、我方完全接受并认可本项目供应商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文件中规定的要求，并通过我方的响应文件对供应商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文件的规定要求做出了全面的积极响应，如因我方提供的响应没有完全达到或符合本项目供应商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文件的规定要求，评审小组、本项目采购人等单位或组织按国家法律法规及供应商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文件的规定要求做出的认定、处置行为，我方完全同意。</w:t>
      </w:r>
    </w:p>
    <w:p w14:paraId="748248BC">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四、我方完全尊重并认可本项目供应商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文件中规定并赋予本项目采购人“自主采取公平、择优的方式选择”的权利，对本项目采购人选择的结果完全认同并无异议。</w:t>
      </w:r>
    </w:p>
    <w:p w14:paraId="2477C9B4">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五、参加本次供应商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活动的行为。</w:t>
      </w:r>
    </w:p>
    <w:p w14:paraId="30D16A36">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六、参加本次供应商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活动，不存在和其他供应商在同一合同项下的供应商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项目中，同时委托同一个自然人、同一家庭的人员、同一单位的人员作为代理人的行为。</w:t>
      </w:r>
    </w:p>
    <w:p w14:paraId="5722C865">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lang w:eastAsia="zh-CN"/>
        </w:rPr>
        <w:t>七</w:t>
      </w:r>
      <w:r>
        <w:rPr>
          <w:rFonts w:hint="eastAsia" w:ascii="仿宋" w:hAnsi="仿宋" w:eastAsia="仿宋" w:cs="仿宋"/>
          <w:color w:val="auto"/>
          <w:spacing w:val="2"/>
          <w:sz w:val="32"/>
          <w:szCs w:val="32"/>
        </w:rPr>
        <w:t>、供应商响应文件中提供的技术、服务、商务等响应承诺情况都是真实的、有效的、合法的。</w:t>
      </w:r>
    </w:p>
    <w:p w14:paraId="1665E5C6">
      <w:pPr>
        <w:pStyle w:val="5"/>
        <w:spacing w:line="240" w:lineRule="auto"/>
        <w:rPr>
          <w:rFonts w:hint="eastAsia" w:ascii="仿宋" w:hAnsi="仿宋" w:eastAsia="仿宋" w:cs="仿宋"/>
          <w:color w:val="auto"/>
          <w:sz w:val="32"/>
          <w:szCs w:val="32"/>
          <w:lang w:val="en-US" w:eastAsia="zh-CN"/>
        </w:rPr>
      </w:pPr>
      <w:r>
        <w:rPr>
          <w:rFonts w:hint="eastAsia" w:ascii="仿宋" w:hAnsi="仿宋" w:eastAsia="仿宋" w:cs="仿宋"/>
          <w:color w:val="auto"/>
          <w:spacing w:val="2"/>
          <w:sz w:val="32"/>
          <w:szCs w:val="32"/>
          <w:lang w:val="en-US" w:eastAsia="zh-CN"/>
        </w:rPr>
        <w:t xml:space="preserve">    八、</w:t>
      </w:r>
      <w:r>
        <w:rPr>
          <w:rFonts w:hint="eastAsia" w:ascii="仿宋" w:hAnsi="仿宋" w:eastAsia="仿宋" w:cs="仿宋"/>
          <w:color w:val="auto"/>
          <w:spacing w:val="2"/>
          <w:kern w:val="2"/>
          <w:sz w:val="32"/>
          <w:szCs w:val="32"/>
          <w:lang w:val="en-US" w:eastAsia="zh-CN" w:bidi="ar-SA"/>
        </w:rPr>
        <w:t>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5C9A6E5">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本公司对上述承诺的内容事项真实性负责。如经查实上述承诺的内容事项存在虚假，我公司愿意接受以提供虚假材料谋取成交追究法律责任。</w:t>
      </w:r>
    </w:p>
    <w:p w14:paraId="026D5F56">
      <w:pPr>
        <w:pStyle w:val="29"/>
        <w:rPr>
          <w:rFonts w:hint="eastAsia" w:ascii="仿宋" w:hAnsi="仿宋" w:eastAsia="仿宋" w:cs="仿宋"/>
          <w:color w:val="auto"/>
          <w:sz w:val="32"/>
          <w:szCs w:val="32"/>
        </w:rPr>
      </w:pPr>
    </w:p>
    <w:p w14:paraId="77BBA41A">
      <w:pPr>
        <w:rPr>
          <w:rFonts w:hint="eastAsia"/>
          <w:color w:val="auto"/>
        </w:rPr>
      </w:pPr>
    </w:p>
    <w:p w14:paraId="37D7581A">
      <w:pPr>
        <w:snapToGrid w:val="0"/>
        <w:spacing w:line="360" w:lineRule="auto"/>
        <w:ind w:firstLine="2916" w:firstLineChars="900"/>
        <w:contextualSpacing/>
        <w:jc w:val="right"/>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供应商名称（单位公章）：XXXX</w:t>
      </w:r>
    </w:p>
    <w:p w14:paraId="767C6A0F">
      <w:pPr>
        <w:snapToGrid w:val="0"/>
        <w:spacing w:line="360" w:lineRule="auto"/>
        <w:contextualSpacing/>
        <w:jc w:val="right"/>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法定代表人或授权代表（签字或加盖个人名章）：XXXX</w:t>
      </w:r>
    </w:p>
    <w:p w14:paraId="1B06D298">
      <w:pPr>
        <w:snapToGrid w:val="0"/>
        <w:spacing w:line="360" w:lineRule="auto"/>
        <w:ind w:firstLine="2916" w:firstLineChars="900"/>
        <w:contextualSpacing/>
        <w:jc w:val="right"/>
        <w:rPr>
          <w:rFonts w:hint="eastAsia" w:ascii="黑体" w:hAnsi="黑体" w:eastAsia="黑体" w:cs="黑体"/>
          <w:color w:val="auto"/>
          <w:spacing w:val="2"/>
          <w:sz w:val="28"/>
          <w:szCs w:val="28"/>
        </w:rPr>
      </w:pPr>
      <w:r>
        <w:rPr>
          <w:rFonts w:hint="eastAsia" w:ascii="仿宋" w:hAnsi="仿宋" w:eastAsia="仿宋" w:cs="仿宋"/>
          <w:color w:val="auto"/>
          <w:spacing w:val="2"/>
          <w:sz w:val="32"/>
          <w:szCs w:val="32"/>
        </w:rPr>
        <w:t>日期：</w:t>
      </w:r>
      <w:r>
        <w:rPr>
          <w:rFonts w:hint="eastAsia" w:ascii="仿宋" w:hAnsi="仿宋" w:eastAsia="仿宋" w:cs="仿宋"/>
          <w:color w:val="auto"/>
          <w:kern w:val="2"/>
          <w:sz w:val="32"/>
          <w:szCs w:val="32"/>
        </w:rPr>
        <w:t>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p>
    <w:p w14:paraId="13B5865A">
      <w:pPr>
        <w:pStyle w:val="5"/>
        <w:adjustRightInd w:val="0"/>
        <w:snapToGrid w:val="0"/>
        <w:spacing w:after="0" w:line="360" w:lineRule="auto"/>
        <w:ind w:firstLine="560" w:firstLineChars="200"/>
        <w:rPr>
          <w:rFonts w:hint="eastAsia" w:ascii="黑体" w:hAnsi="黑体" w:eastAsia="黑体" w:cs="黑体"/>
          <w:color w:val="auto"/>
          <w:sz w:val="28"/>
          <w:szCs w:val="28"/>
          <w:lang w:eastAsia="zh-CN"/>
        </w:rPr>
      </w:pPr>
    </w:p>
    <w:p w14:paraId="7089335C">
      <w:pPr>
        <w:pStyle w:val="5"/>
        <w:adjustRightInd w:val="0"/>
        <w:snapToGrid w:val="0"/>
        <w:spacing w:after="0" w:line="360" w:lineRule="auto"/>
        <w:ind w:firstLine="560" w:firstLineChars="200"/>
        <w:rPr>
          <w:rFonts w:hint="eastAsia" w:ascii="黑体" w:hAnsi="黑体" w:eastAsia="黑体" w:cs="黑体"/>
          <w:color w:val="auto"/>
          <w:sz w:val="28"/>
          <w:szCs w:val="28"/>
          <w:lang w:eastAsia="zh-CN"/>
        </w:rPr>
      </w:pPr>
    </w:p>
    <w:bookmarkEnd w:id="4"/>
    <w:bookmarkEnd w:id="5"/>
    <w:bookmarkEnd w:id="6"/>
    <w:bookmarkEnd w:id="7"/>
    <w:p w14:paraId="1BBDA091">
      <w:pPr>
        <w:pStyle w:val="5"/>
        <w:jc w:val="center"/>
        <w:rPr>
          <w:rFonts w:hint="eastAsia" w:ascii="黑体" w:hAnsi="黑体" w:eastAsia="黑体" w:cs="黑体"/>
          <w:color w:val="auto"/>
          <w:kern w:val="2"/>
          <w:sz w:val="36"/>
          <w:szCs w:val="36"/>
          <w:lang w:val="en-US" w:eastAsia="zh-CN" w:bidi="ar-SA"/>
        </w:rPr>
      </w:pPr>
      <w:bookmarkStart w:id="8" w:name="_Toc199"/>
      <w:bookmarkStart w:id="9" w:name="_Toc24199"/>
      <w:bookmarkStart w:id="10" w:name="_Toc16184"/>
      <w:bookmarkStart w:id="11" w:name="_Toc1800"/>
      <w:bookmarkStart w:id="12" w:name="_Toc439699522"/>
      <w:bookmarkStart w:id="13" w:name="_Toc1287"/>
      <w:bookmarkStart w:id="14" w:name="_Toc12426"/>
      <w:r>
        <w:rPr>
          <w:rFonts w:hint="eastAsia" w:ascii="黑体" w:hAnsi="黑体" w:eastAsia="黑体" w:cs="黑体"/>
          <w:color w:val="auto"/>
        </w:rPr>
        <w:br w:type="page"/>
      </w:r>
      <w:bookmarkEnd w:id="8"/>
      <w:bookmarkEnd w:id="9"/>
      <w:bookmarkEnd w:id="10"/>
      <w:bookmarkEnd w:id="11"/>
      <w:bookmarkEnd w:id="12"/>
      <w:bookmarkEnd w:id="13"/>
      <w:bookmarkEnd w:id="14"/>
      <w:r>
        <w:rPr>
          <w:rFonts w:hint="eastAsia" w:ascii="黑体" w:hAnsi="黑体" w:eastAsia="黑体" w:cs="黑体"/>
          <w:color w:val="auto"/>
          <w:kern w:val="2"/>
          <w:sz w:val="36"/>
          <w:szCs w:val="36"/>
          <w:lang w:val="en-US" w:eastAsia="zh-CN" w:bidi="ar-SA"/>
        </w:rPr>
        <w:t>购销廉洁、诚信承诺书</w:t>
      </w:r>
    </w:p>
    <w:p w14:paraId="148A8028">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18987C15">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1D5853E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24F45CC4">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5B254DDC">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4487798B">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0C1B6CE3">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14:paraId="6CE62E7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14:paraId="27BDA445">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14:paraId="4D3C4AEC">
      <w:pPr>
        <w:pStyle w:val="27"/>
        <w:spacing w:line="240" w:lineRule="auto"/>
        <w:ind w:firstLine="0"/>
        <w:rPr>
          <w:rFonts w:hint="eastAsia" w:ascii="仿宋" w:hAnsi="仿宋" w:eastAsia="仿宋" w:cs="仿宋"/>
          <w:color w:val="auto"/>
          <w:sz w:val="32"/>
          <w:szCs w:val="32"/>
        </w:rPr>
      </w:pPr>
    </w:p>
    <w:p w14:paraId="6DB0E3BA">
      <w:pPr>
        <w:pStyle w:val="27"/>
        <w:spacing w:line="240" w:lineRule="auto"/>
        <w:ind w:firstLine="0"/>
        <w:rPr>
          <w:rFonts w:hint="eastAsia" w:ascii="仿宋" w:hAnsi="仿宋" w:eastAsia="仿宋" w:cs="仿宋"/>
          <w:color w:val="auto"/>
          <w:sz w:val="32"/>
          <w:szCs w:val="32"/>
        </w:rPr>
      </w:pPr>
    </w:p>
    <w:p w14:paraId="3C1F2431">
      <w:pPr>
        <w:autoSpaceDN w:val="0"/>
        <w:spacing w:line="240" w:lineRule="auto"/>
        <w:ind w:firstLine="640" w:firstLineChars="200"/>
        <w:jc w:val="righ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bookmarkEnd w:id="15"/>
    </w:p>
    <w:p w14:paraId="6936C640">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2D85221F">
      <w:pPr>
        <w:pStyle w:val="5"/>
        <w:jc w:val="center"/>
        <w:rPr>
          <w:rFonts w:hint="eastAsia" w:ascii="黑体" w:hAnsi="黑体" w:eastAsia="黑体" w:cs="黑体"/>
          <w:color w:val="auto"/>
          <w:kern w:val="2"/>
          <w:sz w:val="36"/>
          <w:szCs w:val="36"/>
          <w:lang w:val="en-US" w:eastAsia="zh-CN" w:bidi="ar-SA"/>
        </w:rPr>
      </w:pPr>
      <w:r>
        <w:rPr>
          <w:rFonts w:hint="eastAsia" w:ascii="黑体" w:hAnsi="黑体" w:eastAsia="黑体" w:cs="黑体"/>
          <w:color w:val="auto"/>
          <w:kern w:val="2"/>
          <w:sz w:val="36"/>
          <w:szCs w:val="36"/>
          <w:lang w:val="en-US" w:eastAsia="zh-CN" w:bidi="ar-SA"/>
        </w:rPr>
        <w:t>第四章 采购资质要求</w:t>
      </w:r>
    </w:p>
    <w:p w14:paraId="533A034D">
      <w:pPr>
        <w:pStyle w:val="5"/>
        <w:rPr>
          <w:rFonts w:hint="eastAsia" w:ascii="黑体" w:hAnsi="黑体" w:eastAsia="黑体" w:cs="黑体"/>
          <w:b/>
          <w:color w:val="auto"/>
          <w:sz w:val="36"/>
          <w:szCs w:val="36"/>
          <w:lang w:val="en-US" w:eastAsia="zh-CN"/>
        </w:rPr>
      </w:pPr>
    </w:p>
    <w:p w14:paraId="7F675663">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6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5809"/>
        <w:gridCol w:w="912"/>
        <w:gridCol w:w="1497"/>
      </w:tblGrid>
      <w:tr w14:paraId="4759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92" w:type="pct"/>
            <w:noWrap w:val="0"/>
            <w:vAlign w:val="center"/>
          </w:tcPr>
          <w:p w14:paraId="54D35842">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序号</w:t>
            </w:r>
          </w:p>
        </w:tc>
        <w:tc>
          <w:tcPr>
            <w:tcW w:w="3256" w:type="pct"/>
            <w:noWrap w:val="0"/>
            <w:vAlign w:val="center"/>
          </w:tcPr>
          <w:p w14:paraId="5E0C6461">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审查项目</w:t>
            </w:r>
          </w:p>
        </w:tc>
        <w:tc>
          <w:tcPr>
            <w:tcW w:w="511" w:type="pct"/>
            <w:noWrap w:val="0"/>
            <w:vAlign w:val="center"/>
          </w:tcPr>
          <w:p w14:paraId="7E34BE7B">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合格条件</w:t>
            </w:r>
          </w:p>
        </w:tc>
        <w:tc>
          <w:tcPr>
            <w:tcW w:w="839" w:type="pct"/>
            <w:noWrap w:val="0"/>
            <w:vAlign w:val="center"/>
          </w:tcPr>
          <w:p w14:paraId="65C7415F">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备注</w:t>
            </w:r>
          </w:p>
        </w:tc>
      </w:tr>
      <w:tr w14:paraId="54ED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392" w:type="pct"/>
            <w:noWrap w:val="0"/>
            <w:vAlign w:val="center"/>
          </w:tcPr>
          <w:p w14:paraId="73454290">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1</w:t>
            </w:r>
          </w:p>
        </w:tc>
        <w:tc>
          <w:tcPr>
            <w:tcW w:w="3256" w:type="pct"/>
            <w:noWrap w:val="0"/>
            <w:vAlign w:val="center"/>
          </w:tcPr>
          <w:p w14:paraId="2077600F">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 xml:space="preserve">三证（营业执照、税务登记证、组织机构代码证）副本；三证合一的只须提供营业执照副本；事业单位、社会团体提供法人登记证书复印件 </w:t>
            </w:r>
          </w:p>
        </w:tc>
        <w:tc>
          <w:tcPr>
            <w:tcW w:w="511" w:type="pct"/>
            <w:noWrap w:val="0"/>
            <w:vAlign w:val="center"/>
          </w:tcPr>
          <w:p w14:paraId="5C997477">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有效</w:t>
            </w:r>
          </w:p>
        </w:tc>
        <w:tc>
          <w:tcPr>
            <w:tcW w:w="839" w:type="pct"/>
            <w:noWrap w:val="0"/>
            <w:vAlign w:val="center"/>
          </w:tcPr>
          <w:p w14:paraId="03C1F4A4">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复印件加盖公章</w:t>
            </w:r>
          </w:p>
        </w:tc>
      </w:tr>
      <w:tr w14:paraId="5156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92" w:type="pct"/>
            <w:noWrap w:val="0"/>
            <w:vAlign w:val="center"/>
          </w:tcPr>
          <w:p w14:paraId="1D80CC96">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2</w:t>
            </w:r>
          </w:p>
        </w:tc>
        <w:tc>
          <w:tcPr>
            <w:tcW w:w="3256" w:type="pct"/>
            <w:noWrap w:val="0"/>
            <w:vAlign w:val="center"/>
          </w:tcPr>
          <w:p w14:paraId="57E28AED">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提供承诺，购销廉洁、诚信承诺书</w:t>
            </w:r>
          </w:p>
        </w:tc>
        <w:tc>
          <w:tcPr>
            <w:tcW w:w="511" w:type="pct"/>
            <w:noWrap w:val="0"/>
            <w:vAlign w:val="center"/>
          </w:tcPr>
          <w:p w14:paraId="286C2793">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有效</w:t>
            </w:r>
          </w:p>
        </w:tc>
        <w:tc>
          <w:tcPr>
            <w:tcW w:w="839" w:type="pct"/>
            <w:noWrap w:val="0"/>
            <w:vAlign w:val="center"/>
          </w:tcPr>
          <w:p w14:paraId="42C73788">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val="en-US" w:eastAsia="zh-CN"/>
              </w:rPr>
              <w:t>盖章</w:t>
            </w:r>
          </w:p>
        </w:tc>
      </w:tr>
      <w:tr w14:paraId="052F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392" w:type="pct"/>
            <w:noWrap w:val="0"/>
            <w:vAlign w:val="center"/>
          </w:tcPr>
          <w:p w14:paraId="5CFA2ADF">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3</w:t>
            </w:r>
          </w:p>
        </w:tc>
        <w:tc>
          <w:tcPr>
            <w:tcW w:w="3256" w:type="pct"/>
            <w:shd w:val="clear" w:color="auto" w:fill="auto"/>
            <w:noWrap w:val="0"/>
            <w:vAlign w:val="center"/>
          </w:tcPr>
          <w:p w14:paraId="0A250988">
            <w:pPr>
              <w:snapToGrid w:val="0"/>
              <w:spacing w:line="240" w:lineRule="auto"/>
              <w:contextualSpacing/>
              <w:rPr>
                <w:rFonts w:hint="eastAsia" w:ascii="仿宋" w:hAnsi="仿宋" w:eastAsia="仿宋" w:cs="仿宋"/>
                <w:color w:val="auto"/>
                <w:spacing w:val="2"/>
                <w:kern w:val="2"/>
                <w:sz w:val="32"/>
                <w:szCs w:val="32"/>
                <w:lang w:val="en-US" w:eastAsia="zh-CN" w:bidi="ar-SA"/>
              </w:rPr>
            </w:pPr>
            <w:r>
              <w:rPr>
                <w:rFonts w:hint="eastAsia" w:ascii="仿宋" w:hAnsi="仿宋" w:eastAsia="仿宋" w:cs="仿宋"/>
                <w:color w:val="auto"/>
                <w:spacing w:val="2"/>
                <w:sz w:val="32"/>
                <w:szCs w:val="32"/>
                <w:lang w:eastAsia="zh-CN"/>
              </w:rPr>
              <w:t>法定代表人授权委托书（法定代表人参与的须提供法定代表人证明书），法定代表人和授权代表的身份证</w:t>
            </w:r>
          </w:p>
        </w:tc>
        <w:tc>
          <w:tcPr>
            <w:tcW w:w="511" w:type="pct"/>
            <w:shd w:val="clear" w:color="auto" w:fill="auto"/>
            <w:noWrap w:val="0"/>
            <w:vAlign w:val="center"/>
          </w:tcPr>
          <w:p w14:paraId="1D9CB619">
            <w:pPr>
              <w:snapToGrid w:val="0"/>
              <w:spacing w:line="240" w:lineRule="auto"/>
              <w:contextualSpacing/>
              <w:rPr>
                <w:rFonts w:hint="eastAsia" w:ascii="仿宋" w:hAnsi="仿宋" w:eastAsia="仿宋" w:cs="仿宋"/>
                <w:color w:val="auto"/>
                <w:spacing w:val="2"/>
                <w:kern w:val="2"/>
                <w:sz w:val="32"/>
                <w:szCs w:val="32"/>
                <w:lang w:val="en-US" w:eastAsia="zh-CN" w:bidi="ar-SA"/>
              </w:rPr>
            </w:pPr>
            <w:r>
              <w:rPr>
                <w:rFonts w:hint="eastAsia" w:ascii="仿宋" w:hAnsi="仿宋" w:eastAsia="仿宋" w:cs="仿宋"/>
                <w:color w:val="auto"/>
                <w:spacing w:val="2"/>
                <w:sz w:val="32"/>
                <w:szCs w:val="32"/>
                <w:lang w:eastAsia="zh-CN"/>
              </w:rPr>
              <w:t>有效</w:t>
            </w:r>
          </w:p>
        </w:tc>
        <w:tc>
          <w:tcPr>
            <w:tcW w:w="839" w:type="pct"/>
            <w:shd w:val="clear" w:color="auto" w:fill="auto"/>
            <w:noWrap w:val="0"/>
            <w:vAlign w:val="center"/>
          </w:tcPr>
          <w:p w14:paraId="39107788">
            <w:pPr>
              <w:snapToGrid w:val="0"/>
              <w:spacing w:line="240" w:lineRule="auto"/>
              <w:contextualSpacing/>
              <w:rPr>
                <w:rFonts w:hint="eastAsia" w:ascii="仿宋" w:hAnsi="仿宋" w:eastAsia="仿宋" w:cs="仿宋"/>
                <w:color w:val="auto"/>
                <w:spacing w:val="2"/>
                <w:kern w:val="2"/>
                <w:sz w:val="32"/>
                <w:szCs w:val="32"/>
                <w:lang w:val="en-US" w:eastAsia="zh-CN" w:bidi="ar-SA"/>
              </w:rPr>
            </w:pPr>
            <w:r>
              <w:rPr>
                <w:rFonts w:hint="eastAsia" w:ascii="仿宋" w:hAnsi="仿宋" w:eastAsia="仿宋" w:cs="仿宋"/>
                <w:color w:val="auto"/>
                <w:spacing w:val="2"/>
                <w:sz w:val="32"/>
                <w:szCs w:val="32"/>
                <w:lang w:eastAsia="zh-CN"/>
              </w:rPr>
              <w:t>盖章</w:t>
            </w:r>
          </w:p>
        </w:tc>
      </w:tr>
      <w:tr w14:paraId="36A1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392" w:type="pct"/>
            <w:noWrap w:val="0"/>
            <w:vAlign w:val="center"/>
          </w:tcPr>
          <w:p w14:paraId="637F2408">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4</w:t>
            </w:r>
          </w:p>
        </w:tc>
        <w:tc>
          <w:tcPr>
            <w:tcW w:w="3256" w:type="pct"/>
            <w:shd w:val="clear" w:color="auto" w:fill="auto"/>
            <w:noWrap w:val="0"/>
            <w:vAlign w:val="center"/>
          </w:tcPr>
          <w:p w14:paraId="24FFDEED">
            <w:pPr>
              <w:snapToGrid w:val="0"/>
              <w:spacing w:line="240" w:lineRule="auto"/>
              <w:contextualSpacing/>
              <w:rPr>
                <w:rFonts w:hint="eastAsia" w:ascii="仿宋" w:hAnsi="仿宋" w:eastAsia="仿宋" w:cs="仿宋"/>
                <w:color w:val="auto"/>
                <w:spacing w:val="2"/>
                <w:kern w:val="2"/>
                <w:sz w:val="32"/>
                <w:szCs w:val="32"/>
                <w:lang w:val="en-US" w:eastAsia="zh-CN" w:bidi="ar-SA"/>
              </w:rPr>
            </w:pPr>
            <w:r>
              <w:rPr>
                <w:rFonts w:hint="eastAsia" w:ascii="仿宋" w:hAnsi="仿宋" w:eastAsia="仿宋" w:cs="仿宋"/>
                <w:color w:val="auto"/>
                <w:spacing w:val="2"/>
                <w:sz w:val="32"/>
                <w:szCs w:val="32"/>
                <w:lang w:eastAsia="zh-CN"/>
              </w:rPr>
              <w:t>供应商通过“信用中国”(</w:t>
            </w:r>
            <w:r>
              <w:rPr>
                <w:rFonts w:hint="eastAsia" w:ascii="仿宋" w:hAnsi="仿宋" w:eastAsia="仿宋" w:cs="仿宋"/>
                <w:color w:val="auto"/>
                <w:spacing w:val="2"/>
                <w:sz w:val="32"/>
                <w:szCs w:val="32"/>
                <w:lang w:eastAsia="zh-CN"/>
              </w:rPr>
              <w:fldChar w:fldCharType="begin"/>
            </w:r>
            <w:r>
              <w:rPr>
                <w:rFonts w:hint="eastAsia" w:ascii="仿宋" w:hAnsi="仿宋" w:eastAsia="仿宋" w:cs="仿宋"/>
                <w:color w:val="auto"/>
                <w:spacing w:val="2"/>
                <w:sz w:val="32"/>
                <w:szCs w:val="32"/>
                <w:lang w:eastAsia="zh-CN"/>
              </w:rPr>
              <w:instrText xml:space="preserve"> HYPERLINK "http://www.creditchina.gov.cn)" </w:instrText>
            </w:r>
            <w:r>
              <w:rPr>
                <w:rFonts w:hint="eastAsia" w:ascii="仿宋" w:hAnsi="仿宋" w:eastAsia="仿宋" w:cs="仿宋"/>
                <w:color w:val="auto"/>
                <w:spacing w:val="2"/>
                <w:sz w:val="32"/>
                <w:szCs w:val="32"/>
                <w:lang w:eastAsia="zh-CN"/>
              </w:rPr>
              <w:fldChar w:fldCharType="separate"/>
            </w:r>
            <w:r>
              <w:rPr>
                <w:rFonts w:hint="eastAsia" w:ascii="仿宋" w:hAnsi="仿宋" w:eastAsia="仿宋" w:cs="仿宋"/>
                <w:color w:val="auto"/>
                <w:spacing w:val="2"/>
                <w:sz w:val="32"/>
                <w:szCs w:val="32"/>
                <w:lang w:eastAsia="zh-CN"/>
              </w:rPr>
              <w:t>www.creditchina.gov.cn)</w:t>
            </w:r>
            <w:r>
              <w:rPr>
                <w:rFonts w:hint="eastAsia" w:ascii="仿宋" w:hAnsi="仿宋" w:eastAsia="仿宋" w:cs="仿宋"/>
                <w:color w:val="auto"/>
                <w:spacing w:val="2"/>
                <w:sz w:val="32"/>
                <w:szCs w:val="32"/>
                <w:lang w:eastAsia="zh-CN"/>
              </w:rPr>
              <w:fldChar w:fldCharType="end"/>
            </w:r>
            <w:r>
              <w:rPr>
                <w:rFonts w:hint="eastAsia" w:ascii="仿宋" w:hAnsi="仿宋" w:eastAsia="仿宋" w:cs="仿宋"/>
                <w:color w:val="auto"/>
                <w:spacing w:val="2"/>
                <w:sz w:val="32"/>
                <w:szCs w:val="32"/>
                <w:lang w:eastAsia="zh-CN"/>
              </w:rPr>
              <w:t>、“中国政府采购网”(www.ccgp.gov.cn)网站查询公告发布之日起前三年的信用记录，无不良记录</w:t>
            </w:r>
          </w:p>
        </w:tc>
        <w:tc>
          <w:tcPr>
            <w:tcW w:w="511" w:type="pct"/>
            <w:shd w:val="clear" w:color="auto" w:fill="auto"/>
            <w:noWrap w:val="0"/>
            <w:vAlign w:val="center"/>
          </w:tcPr>
          <w:p w14:paraId="61A7CF0F">
            <w:pPr>
              <w:snapToGrid w:val="0"/>
              <w:spacing w:line="240" w:lineRule="auto"/>
              <w:contextualSpacing/>
              <w:rPr>
                <w:rFonts w:hint="eastAsia" w:ascii="仿宋" w:hAnsi="仿宋" w:eastAsia="仿宋" w:cs="仿宋"/>
                <w:color w:val="auto"/>
                <w:spacing w:val="2"/>
                <w:kern w:val="2"/>
                <w:sz w:val="32"/>
                <w:szCs w:val="32"/>
                <w:lang w:val="en-US" w:eastAsia="zh-CN" w:bidi="ar-SA"/>
              </w:rPr>
            </w:pPr>
            <w:r>
              <w:rPr>
                <w:rFonts w:hint="eastAsia" w:ascii="仿宋" w:hAnsi="仿宋" w:eastAsia="仿宋" w:cs="仿宋"/>
                <w:color w:val="auto"/>
                <w:spacing w:val="2"/>
                <w:sz w:val="32"/>
                <w:szCs w:val="32"/>
                <w:lang w:eastAsia="zh-CN"/>
              </w:rPr>
              <w:t>有效</w:t>
            </w:r>
          </w:p>
        </w:tc>
        <w:tc>
          <w:tcPr>
            <w:tcW w:w="839" w:type="pct"/>
            <w:shd w:val="clear" w:color="auto" w:fill="auto"/>
            <w:noWrap w:val="0"/>
            <w:vAlign w:val="center"/>
          </w:tcPr>
          <w:p w14:paraId="369458A8">
            <w:pPr>
              <w:snapToGrid w:val="0"/>
              <w:spacing w:line="240" w:lineRule="auto"/>
              <w:contextualSpacing/>
              <w:rPr>
                <w:rFonts w:hint="eastAsia" w:ascii="仿宋" w:hAnsi="仿宋" w:eastAsia="仿宋" w:cs="仿宋"/>
                <w:color w:val="auto"/>
                <w:spacing w:val="2"/>
                <w:kern w:val="2"/>
                <w:sz w:val="32"/>
                <w:szCs w:val="32"/>
                <w:lang w:val="en-US" w:eastAsia="zh-CN" w:bidi="ar-SA"/>
              </w:rPr>
            </w:pPr>
            <w:r>
              <w:rPr>
                <w:rFonts w:hint="eastAsia" w:ascii="仿宋" w:hAnsi="仿宋" w:eastAsia="仿宋" w:cs="仿宋"/>
                <w:color w:val="auto"/>
                <w:spacing w:val="2"/>
                <w:sz w:val="32"/>
                <w:szCs w:val="32"/>
                <w:lang w:eastAsia="zh-CN"/>
              </w:rPr>
              <w:t>网页截图盖公章</w:t>
            </w:r>
          </w:p>
        </w:tc>
      </w:tr>
      <w:tr w14:paraId="3A1B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pct"/>
            <w:noWrap w:val="0"/>
            <w:vAlign w:val="center"/>
          </w:tcPr>
          <w:p w14:paraId="2111DE38">
            <w:pPr>
              <w:snapToGrid w:val="0"/>
              <w:spacing w:line="240" w:lineRule="auto"/>
              <w:contextualSpacing/>
              <w:rPr>
                <w:rFonts w:hint="eastAsia" w:ascii="仿宋" w:hAnsi="仿宋" w:eastAsia="仿宋" w:cs="仿宋"/>
                <w:color w:val="auto"/>
                <w:spacing w:val="2"/>
                <w:sz w:val="32"/>
                <w:szCs w:val="32"/>
                <w:lang w:eastAsia="zh-CN"/>
              </w:rPr>
            </w:pPr>
          </w:p>
        </w:tc>
        <w:tc>
          <w:tcPr>
            <w:tcW w:w="3256" w:type="pct"/>
            <w:noWrap w:val="0"/>
            <w:vAlign w:val="center"/>
          </w:tcPr>
          <w:p w14:paraId="1868FD0C">
            <w:pPr>
              <w:snapToGrid w:val="0"/>
              <w:spacing w:line="240" w:lineRule="auto"/>
              <w:contextualSpacing/>
              <w:rPr>
                <w:rFonts w:hint="eastAsia" w:ascii="仿宋" w:hAnsi="仿宋" w:eastAsia="仿宋" w:cs="仿宋"/>
                <w:color w:val="auto"/>
                <w:spacing w:val="2"/>
                <w:sz w:val="32"/>
                <w:szCs w:val="32"/>
                <w:lang w:eastAsia="zh-CN"/>
              </w:rPr>
            </w:pPr>
          </w:p>
        </w:tc>
        <w:tc>
          <w:tcPr>
            <w:tcW w:w="511" w:type="pct"/>
            <w:noWrap w:val="0"/>
            <w:vAlign w:val="center"/>
          </w:tcPr>
          <w:p w14:paraId="72980604">
            <w:pPr>
              <w:snapToGrid w:val="0"/>
              <w:spacing w:line="240" w:lineRule="auto"/>
              <w:contextualSpacing/>
              <w:rPr>
                <w:rFonts w:hint="eastAsia" w:ascii="仿宋" w:hAnsi="仿宋" w:eastAsia="仿宋" w:cs="仿宋"/>
                <w:color w:val="auto"/>
                <w:spacing w:val="2"/>
                <w:sz w:val="32"/>
                <w:szCs w:val="32"/>
                <w:lang w:val="en-US" w:eastAsia="zh-CN"/>
              </w:rPr>
            </w:pPr>
          </w:p>
        </w:tc>
        <w:tc>
          <w:tcPr>
            <w:tcW w:w="839" w:type="pct"/>
            <w:noWrap w:val="0"/>
            <w:vAlign w:val="center"/>
          </w:tcPr>
          <w:p w14:paraId="6264DAF9">
            <w:pPr>
              <w:snapToGrid w:val="0"/>
              <w:spacing w:line="240" w:lineRule="auto"/>
              <w:contextualSpacing/>
              <w:rPr>
                <w:rFonts w:hint="eastAsia" w:ascii="仿宋" w:hAnsi="仿宋" w:eastAsia="仿宋" w:cs="仿宋"/>
                <w:color w:val="auto"/>
                <w:spacing w:val="2"/>
                <w:sz w:val="32"/>
                <w:szCs w:val="32"/>
                <w:lang w:val="en-US" w:eastAsia="zh-CN"/>
              </w:rPr>
            </w:pPr>
          </w:p>
        </w:tc>
      </w:tr>
      <w:tr w14:paraId="2822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92" w:type="pct"/>
            <w:noWrap w:val="0"/>
            <w:vAlign w:val="center"/>
          </w:tcPr>
          <w:p w14:paraId="2E814991">
            <w:pPr>
              <w:snapToGrid w:val="0"/>
              <w:spacing w:line="240" w:lineRule="auto"/>
              <w:contextualSpacing/>
              <w:rPr>
                <w:rFonts w:hint="default" w:ascii="仿宋" w:hAnsi="仿宋" w:eastAsia="仿宋" w:cs="仿宋"/>
                <w:color w:val="auto"/>
                <w:spacing w:val="2"/>
                <w:sz w:val="32"/>
                <w:szCs w:val="32"/>
                <w:lang w:val="en-US" w:eastAsia="zh-CN"/>
              </w:rPr>
            </w:pPr>
          </w:p>
        </w:tc>
        <w:tc>
          <w:tcPr>
            <w:tcW w:w="3256" w:type="pct"/>
            <w:noWrap w:val="0"/>
            <w:vAlign w:val="center"/>
          </w:tcPr>
          <w:p w14:paraId="4BEDD5F8">
            <w:pPr>
              <w:snapToGrid w:val="0"/>
              <w:spacing w:line="240" w:lineRule="auto"/>
              <w:contextualSpacing/>
              <w:rPr>
                <w:rFonts w:hint="eastAsia" w:ascii="仿宋" w:hAnsi="仿宋" w:eastAsia="仿宋" w:cs="仿宋"/>
                <w:color w:val="auto"/>
                <w:spacing w:val="2"/>
                <w:sz w:val="32"/>
                <w:szCs w:val="32"/>
                <w:lang w:val="en-US" w:eastAsia="zh-CN"/>
              </w:rPr>
            </w:pPr>
          </w:p>
        </w:tc>
        <w:tc>
          <w:tcPr>
            <w:tcW w:w="511" w:type="pct"/>
            <w:noWrap w:val="0"/>
            <w:vAlign w:val="center"/>
          </w:tcPr>
          <w:p w14:paraId="1F4F69D6">
            <w:pPr>
              <w:snapToGrid w:val="0"/>
              <w:spacing w:line="240" w:lineRule="auto"/>
              <w:contextualSpacing/>
              <w:rPr>
                <w:rFonts w:hint="eastAsia" w:ascii="仿宋" w:hAnsi="仿宋" w:eastAsia="仿宋" w:cs="仿宋"/>
                <w:color w:val="auto"/>
                <w:spacing w:val="2"/>
                <w:sz w:val="32"/>
                <w:szCs w:val="32"/>
                <w:lang w:eastAsia="zh-CN"/>
              </w:rPr>
            </w:pPr>
          </w:p>
        </w:tc>
        <w:tc>
          <w:tcPr>
            <w:tcW w:w="839" w:type="pct"/>
            <w:noWrap w:val="0"/>
            <w:vAlign w:val="center"/>
          </w:tcPr>
          <w:p w14:paraId="56F03F65">
            <w:pPr>
              <w:snapToGrid w:val="0"/>
              <w:spacing w:line="240" w:lineRule="auto"/>
              <w:contextualSpacing/>
              <w:rPr>
                <w:rFonts w:hint="eastAsia" w:ascii="仿宋" w:hAnsi="仿宋" w:eastAsia="仿宋" w:cs="仿宋"/>
                <w:color w:val="auto"/>
                <w:spacing w:val="2"/>
                <w:sz w:val="32"/>
                <w:szCs w:val="32"/>
                <w:lang w:eastAsia="zh-CN"/>
              </w:rPr>
            </w:pPr>
          </w:p>
        </w:tc>
      </w:tr>
      <w:tr w14:paraId="5D3B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392" w:type="pct"/>
            <w:noWrap w:val="0"/>
            <w:vAlign w:val="center"/>
          </w:tcPr>
          <w:p w14:paraId="6347D034">
            <w:pPr>
              <w:snapToGrid w:val="0"/>
              <w:spacing w:line="240" w:lineRule="auto"/>
              <w:contextualSpacing/>
              <w:rPr>
                <w:rFonts w:hint="eastAsia" w:ascii="仿宋" w:hAnsi="仿宋" w:eastAsia="仿宋" w:cs="仿宋"/>
                <w:color w:val="auto"/>
                <w:spacing w:val="2"/>
                <w:sz w:val="32"/>
                <w:szCs w:val="32"/>
                <w:lang w:eastAsia="zh-CN"/>
              </w:rPr>
            </w:pPr>
          </w:p>
        </w:tc>
        <w:tc>
          <w:tcPr>
            <w:tcW w:w="3256" w:type="pct"/>
            <w:noWrap w:val="0"/>
            <w:vAlign w:val="center"/>
          </w:tcPr>
          <w:p w14:paraId="6AC71881">
            <w:pPr>
              <w:snapToGrid w:val="0"/>
              <w:spacing w:line="240" w:lineRule="auto"/>
              <w:contextualSpacing/>
              <w:rPr>
                <w:rFonts w:hint="eastAsia" w:ascii="仿宋" w:hAnsi="仿宋" w:eastAsia="仿宋" w:cs="仿宋"/>
                <w:color w:val="auto"/>
                <w:spacing w:val="2"/>
                <w:sz w:val="32"/>
                <w:szCs w:val="32"/>
                <w:lang w:val="en-US" w:eastAsia="zh-CN"/>
              </w:rPr>
            </w:pPr>
          </w:p>
        </w:tc>
        <w:tc>
          <w:tcPr>
            <w:tcW w:w="511" w:type="pct"/>
            <w:noWrap w:val="0"/>
            <w:vAlign w:val="center"/>
          </w:tcPr>
          <w:p w14:paraId="181B9554">
            <w:pPr>
              <w:snapToGrid w:val="0"/>
              <w:spacing w:line="240" w:lineRule="auto"/>
              <w:contextualSpacing/>
              <w:rPr>
                <w:rFonts w:hint="eastAsia" w:ascii="仿宋" w:hAnsi="仿宋" w:eastAsia="仿宋" w:cs="仿宋"/>
                <w:color w:val="auto"/>
                <w:spacing w:val="2"/>
                <w:sz w:val="32"/>
                <w:szCs w:val="32"/>
                <w:lang w:eastAsia="zh-CN"/>
              </w:rPr>
            </w:pPr>
          </w:p>
        </w:tc>
        <w:tc>
          <w:tcPr>
            <w:tcW w:w="839" w:type="pct"/>
            <w:noWrap w:val="0"/>
            <w:vAlign w:val="center"/>
          </w:tcPr>
          <w:p w14:paraId="0A6B7EED">
            <w:pPr>
              <w:snapToGrid w:val="0"/>
              <w:spacing w:line="240" w:lineRule="auto"/>
              <w:contextualSpacing/>
              <w:rPr>
                <w:rFonts w:hint="eastAsia" w:ascii="仿宋" w:hAnsi="仿宋" w:eastAsia="仿宋" w:cs="仿宋"/>
                <w:color w:val="auto"/>
                <w:spacing w:val="2"/>
                <w:sz w:val="32"/>
                <w:szCs w:val="32"/>
                <w:lang w:eastAsia="zh-CN"/>
              </w:rPr>
            </w:pPr>
          </w:p>
        </w:tc>
      </w:tr>
      <w:tr w14:paraId="13CC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92" w:type="pct"/>
            <w:noWrap w:val="0"/>
            <w:vAlign w:val="center"/>
          </w:tcPr>
          <w:p w14:paraId="6C97E152">
            <w:pPr>
              <w:snapToGrid w:val="0"/>
              <w:spacing w:line="240" w:lineRule="auto"/>
              <w:contextualSpacing/>
              <w:rPr>
                <w:rFonts w:hint="default" w:ascii="仿宋" w:hAnsi="仿宋" w:eastAsia="仿宋" w:cs="仿宋"/>
                <w:color w:val="auto"/>
                <w:spacing w:val="2"/>
                <w:sz w:val="32"/>
                <w:szCs w:val="32"/>
                <w:lang w:val="en-US" w:eastAsia="zh-CN"/>
              </w:rPr>
            </w:pPr>
          </w:p>
        </w:tc>
        <w:tc>
          <w:tcPr>
            <w:tcW w:w="3256" w:type="pct"/>
            <w:noWrap w:val="0"/>
            <w:vAlign w:val="center"/>
          </w:tcPr>
          <w:p w14:paraId="3CC69F2B">
            <w:pPr>
              <w:snapToGrid w:val="0"/>
              <w:spacing w:line="240" w:lineRule="auto"/>
              <w:contextualSpacing/>
              <w:rPr>
                <w:rFonts w:hint="default" w:ascii="仿宋" w:hAnsi="仿宋" w:eastAsia="仿宋" w:cs="仿宋"/>
                <w:color w:val="auto"/>
                <w:spacing w:val="2"/>
                <w:sz w:val="32"/>
                <w:szCs w:val="32"/>
                <w:lang w:val="en-US" w:eastAsia="zh-CN"/>
              </w:rPr>
            </w:pPr>
          </w:p>
        </w:tc>
        <w:tc>
          <w:tcPr>
            <w:tcW w:w="511" w:type="pct"/>
            <w:noWrap w:val="0"/>
            <w:vAlign w:val="center"/>
          </w:tcPr>
          <w:p w14:paraId="70DAD64F">
            <w:pPr>
              <w:snapToGrid w:val="0"/>
              <w:spacing w:line="240" w:lineRule="auto"/>
              <w:contextualSpacing/>
              <w:rPr>
                <w:rFonts w:hint="default" w:ascii="仿宋" w:hAnsi="仿宋" w:eastAsia="仿宋" w:cs="仿宋"/>
                <w:color w:val="auto"/>
                <w:spacing w:val="2"/>
                <w:sz w:val="32"/>
                <w:szCs w:val="32"/>
                <w:lang w:val="en-US" w:eastAsia="zh-CN"/>
              </w:rPr>
            </w:pPr>
          </w:p>
        </w:tc>
        <w:tc>
          <w:tcPr>
            <w:tcW w:w="839" w:type="pct"/>
            <w:noWrap w:val="0"/>
            <w:vAlign w:val="center"/>
          </w:tcPr>
          <w:p w14:paraId="7BFAF613">
            <w:pPr>
              <w:snapToGrid w:val="0"/>
              <w:spacing w:line="240" w:lineRule="auto"/>
              <w:contextualSpacing/>
              <w:rPr>
                <w:rFonts w:hint="default" w:ascii="仿宋" w:hAnsi="仿宋" w:eastAsia="仿宋" w:cs="仿宋"/>
                <w:color w:val="auto"/>
                <w:spacing w:val="2"/>
                <w:sz w:val="32"/>
                <w:szCs w:val="32"/>
                <w:lang w:val="en-US" w:eastAsia="zh-CN"/>
              </w:rPr>
            </w:pPr>
          </w:p>
        </w:tc>
      </w:tr>
    </w:tbl>
    <w:p w14:paraId="0C144795">
      <w:pPr>
        <w:pStyle w:val="5"/>
        <w:rPr>
          <w:rFonts w:hint="eastAsia" w:ascii="仿宋" w:hAnsi="仿宋" w:eastAsia="仿宋" w:cs="仿宋"/>
          <w:color w:val="auto"/>
          <w:sz w:val="30"/>
          <w:szCs w:val="30"/>
          <w:highlight w:val="none"/>
          <w:lang w:eastAsia="zh-CN"/>
        </w:rPr>
      </w:pPr>
    </w:p>
    <w:p w14:paraId="5B02DBCE">
      <w:pPr>
        <w:autoSpaceDN w:val="0"/>
        <w:spacing w:line="240" w:lineRule="auto"/>
        <w:ind w:firstLine="6560" w:firstLineChars="2050"/>
        <w:rPr>
          <w:rFonts w:hint="eastAsia" w:ascii="仿宋" w:hAnsi="仿宋" w:eastAsia="仿宋" w:cs="仿宋"/>
          <w:color w:val="auto"/>
          <w:kern w:val="2"/>
          <w:sz w:val="32"/>
          <w:szCs w:val="32"/>
        </w:rPr>
      </w:pPr>
    </w:p>
    <w:p w14:paraId="3B727D9B">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523A648E">
      <w:pPr>
        <w:pStyle w:val="5"/>
        <w:jc w:val="center"/>
        <w:rPr>
          <w:rFonts w:hint="eastAsia" w:ascii="黑体" w:hAnsi="黑体" w:eastAsia="黑体" w:cs="黑体"/>
          <w:color w:val="auto"/>
          <w:kern w:val="2"/>
          <w:sz w:val="36"/>
          <w:szCs w:val="36"/>
          <w:lang w:val="en-US" w:eastAsia="zh-CN" w:bidi="ar-SA"/>
        </w:rPr>
      </w:pPr>
      <w:r>
        <w:rPr>
          <w:rFonts w:hint="eastAsia" w:ascii="黑体" w:hAnsi="黑体" w:eastAsia="黑体" w:cs="黑体"/>
          <w:color w:val="auto"/>
          <w:kern w:val="2"/>
          <w:sz w:val="36"/>
          <w:szCs w:val="36"/>
          <w:lang w:val="en-US" w:eastAsia="zh-CN" w:bidi="ar-SA"/>
        </w:rPr>
        <w:t>第五章  采购项目技术、服务及其他商务要求</w:t>
      </w:r>
    </w:p>
    <w:p w14:paraId="72D33233">
      <w:pPr>
        <w:pStyle w:val="5"/>
        <w:rPr>
          <w:rFonts w:hint="eastAsia" w:ascii="黑体" w:hAnsi="黑体" w:eastAsia="黑体" w:cs="黑体"/>
          <w:color w:val="auto"/>
          <w:lang w:val="en-US" w:eastAsia="zh-CN"/>
        </w:rPr>
      </w:pPr>
    </w:p>
    <w:p w14:paraId="2B60258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一、项目采购清单、技术参数及要求（实质性要求）</w:t>
      </w:r>
    </w:p>
    <w:tbl>
      <w:tblPr>
        <w:tblStyle w:val="18"/>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89"/>
        <w:gridCol w:w="4536"/>
        <w:gridCol w:w="870"/>
        <w:gridCol w:w="911"/>
        <w:gridCol w:w="997"/>
        <w:gridCol w:w="1065"/>
      </w:tblGrid>
      <w:tr w14:paraId="4921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2CA1C929">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序号</w:t>
            </w:r>
          </w:p>
        </w:tc>
        <w:tc>
          <w:tcPr>
            <w:tcW w:w="789" w:type="dxa"/>
            <w:vAlign w:val="center"/>
          </w:tcPr>
          <w:p w14:paraId="0A908E0B">
            <w:pPr>
              <w:jc w:val="center"/>
              <w:rPr>
                <w:rFonts w:hint="eastAsia" w:ascii="仿宋" w:hAnsi="仿宋" w:eastAsia="仿宋" w:cs="仿宋"/>
                <w:b w:val="0"/>
                <w:bCs w:val="0"/>
                <w:color w:val="auto"/>
                <w:sz w:val="24"/>
                <w:szCs w:val="24"/>
                <w:vertAlign w:val="baseline"/>
              </w:rPr>
            </w:pPr>
            <w:r>
              <w:rPr>
                <w:rFonts w:hint="eastAsia" w:ascii="仿宋" w:hAnsi="仿宋" w:eastAsia="仿宋" w:cs="仿宋"/>
                <w:b w:val="0"/>
                <w:bCs w:val="0"/>
                <w:color w:val="auto"/>
                <w:sz w:val="24"/>
                <w:szCs w:val="24"/>
                <w:vertAlign w:val="baseline"/>
              </w:rPr>
              <w:t>品名</w:t>
            </w:r>
          </w:p>
        </w:tc>
        <w:tc>
          <w:tcPr>
            <w:tcW w:w="4536" w:type="dxa"/>
            <w:vAlign w:val="center"/>
          </w:tcPr>
          <w:p w14:paraId="2431EE41">
            <w:pPr>
              <w:jc w:val="center"/>
              <w:rPr>
                <w:rFonts w:hint="eastAsia" w:ascii="仿宋" w:hAnsi="仿宋" w:eastAsia="仿宋" w:cs="仿宋"/>
                <w:b w:val="0"/>
                <w:bCs w:val="0"/>
                <w:color w:val="auto"/>
                <w:sz w:val="24"/>
                <w:szCs w:val="24"/>
                <w:vertAlign w:val="baseline"/>
              </w:rPr>
            </w:pPr>
            <w:r>
              <w:rPr>
                <w:rFonts w:hint="eastAsia" w:ascii="仿宋" w:hAnsi="仿宋" w:eastAsia="仿宋" w:cs="仿宋"/>
                <w:b w:val="0"/>
                <w:bCs w:val="0"/>
                <w:color w:val="auto"/>
                <w:sz w:val="24"/>
                <w:szCs w:val="24"/>
                <w:vertAlign w:val="baseline"/>
              </w:rPr>
              <w:t>技术参数及要求</w:t>
            </w:r>
          </w:p>
        </w:tc>
        <w:tc>
          <w:tcPr>
            <w:tcW w:w="870" w:type="dxa"/>
            <w:vAlign w:val="center"/>
          </w:tcPr>
          <w:p w14:paraId="01150778">
            <w:pPr>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rPr>
              <w:t>单</w:t>
            </w:r>
            <w:r>
              <w:rPr>
                <w:rFonts w:hint="eastAsia" w:ascii="仿宋" w:hAnsi="仿宋" w:eastAsia="仿宋" w:cs="仿宋"/>
                <w:b w:val="0"/>
                <w:bCs w:val="0"/>
                <w:color w:val="auto"/>
                <w:sz w:val="24"/>
                <w:szCs w:val="24"/>
                <w:vertAlign w:val="baseline"/>
                <w:lang w:val="en-US" w:eastAsia="zh-CN"/>
              </w:rPr>
              <w:t>桶  重量（</w:t>
            </w:r>
            <w:r>
              <w:rPr>
                <w:rFonts w:hint="eastAsia" w:ascii="仿宋" w:hAnsi="仿宋" w:eastAsia="仿宋" w:cs="仿宋"/>
                <w:b w:val="0"/>
                <w:bCs w:val="0"/>
                <w:color w:val="auto"/>
                <w:sz w:val="21"/>
                <w:szCs w:val="21"/>
                <w:vertAlign w:val="baseline"/>
              </w:rPr>
              <w:t>KG /</w:t>
            </w:r>
            <w:r>
              <w:rPr>
                <w:rFonts w:hint="eastAsia" w:ascii="仿宋" w:hAnsi="仿宋" w:eastAsia="仿宋" w:cs="仿宋"/>
                <w:b w:val="0"/>
                <w:bCs w:val="0"/>
                <w:color w:val="auto"/>
                <w:sz w:val="21"/>
                <w:szCs w:val="21"/>
                <w:vertAlign w:val="baseline"/>
                <w:lang w:val="en-US" w:eastAsia="zh-CN"/>
              </w:rPr>
              <w:t>桶</w:t>
            </w:r>
            <w:r>
              <w:rPr>
                <w:rFonts w:hint="eastAsia" w:ascii="仿宋" w:hAnsi="仿宋" w:eastAsia="仿宋" w:cs="仿宋"/>
                <w:b w:val="0"/>
                <w:bCs w:val="0"/>
                <w:color w:val="auto"/>
                <w:sz w:val="24"/>
                <w:szCs w:val="24"/>
                <w:vertAlign w:val="baseline"/>
                <w:lang w:val="en-US" w:eastAsia="zh-CN"/>
              </w:rPr>
              <w:t>）</w:t>
            </w:r>
          </w:p>
        </w:tc>
        <w:tc>
          <w:tcPr>
            <w:tcW w:w="911" w:type="dxa"/>
            <w:vAlign w:val="center"/>
          </w:tcPr>
          <w:p w14:paraId="3AB648F7">
            <w:pPr>
              <w:jc w:val="center"/>
              <w:rPr>
                <w:rFonts w:hint="eastAsia" w:ascii="仿宋" w:hAnsi="仿宋" w:eastAsia="仿宋" w:cs="仿宋"/>
                <w:b w:val="0"/>
                <w:bCs w:val="0"/>
                <w:color w:val="auto"/>
                <w:sz w:val="24"/>
                <w:szCs w:val="24"/>
                <w:vertAlign w:val="baseline"/>
              </w:rPr>
            </w:pPr>
            <w:r>
              <w:rPr>
                <w:rFonts w:hint="eastAsia" w:ascii="仿宋" w:hAnsi="仿宋" w:eastAsia="仿宋" w:cs="仿宋"/>
                <w:b w:val="0"/>
                <w:bCs w:val="0"/>
                <w:color w:val="auto"/>
                <w:sz w:val="24"/>
                <w:szCs w:val="24"/>
                <w:vertAlign w:val="baseline"/>
              </w:rPr>
              <w:t>预计年使用量（</w:t>
            </w:r>
            <w:r>
              <w:rPr>
                <w:rFonts w:hint="eastAsia" w:ascii="仿宋" w:hAnsi="仿宋" w:eastAsia="仿宋" w:cs="仿宋"/>
                <w:b w:val="0"/>
                <w:bCs w:val="0"/>
                <w:color w:val="auto"/>
                <w:sz w:val="24"/>
                <w:szCs w:val="24"/>
                <w:vertAlign w:val="baseline"/>
                <w:lang w:val="en-US" w:eastAsia="zh-CN"/>
              </w:rPr>
              <w:t>桶</w:t>
            </w:r>
            <w:r>
              <w:rPr>
                <w:rFonts w:hint="eastAsia" w:ascii="仿宋" w:hAnsi="仿宋" w:eastAsia="仿宋" w:cs="仿宋"/>
                <w:b w:val="0"/>
                <w:bCs w:val="0"/>
                <w:color w:val="auto"/>
                <w:sz w:val="24"/>
                <w:szCs w:val="24"/>
                <w:vertAlign w:val="baseline"/>
              </w:rPr>
              <w:t>）</w:t>
            </w:r>
          </w:p>
        </w:tc>
        <w:tc>
          <w:tcPr>
            <w:tcW w:w="997" w:type="dxa"/>
            <w:vAlign w:val="center"/>
          </w:tcPr>
          <w:p w14:paraId="47119EF3">
            <w:pPr>
              <w:jc w:val="center"/>
              <w:rPr>
                <w:rFonts w:hint="eastAsia" w:ascii="仿宋" w:hAnsi="仿宋" w:eastAsia="仿宋" w:cs="仿宋"/>
                <w:b w:val="0"/>
                <w:bCs w:val="0"/>
                <w:color w:val="auto"/>
                <w:sz w:val="24"/>
                <w:szCs w:val="24"/>
                <w:vertAlign w:val="baseline"/>
              </w:rPr>
            </w:pPr>
            <w:r>
              <w:rPr>
                <w:rFonts w:hint="eastAsia" w:ascii="仿宋" w:hAnsi="仿宋" w:eastAsia="仿宋" w:cs="仿宋"/>
                <w:b w:val="0"/>
                <w:bCs w:val="0"/>
                <w:color w:val="auto"/>
                <w:sz w:val="24"/>
                <w:szCs w:val="24"/>
                <w:vertAlign w:val="baseline"/>
                <w:lang w:val="en-US" w:eastAsia="zh-CN"/>
              </w:rPr>
              <w:t>最高限价</w:t>
            </w:r>
            <w:r>
              <w:rPr>
                <w:rFonts w:hint="eastAsia" w:ascii="仿宋" w:hAnsi="仿宋" w:eastAsia="仿宋" w:cs="仿宋"/>
                <w:b w:val="0"/>
                <w:bCs w:val="0"/>
                <w:color w:val="auto"/>
                <w:sz w:val="24"/>
                <w:szCs w:val="24"/>
                <w:vertAlign w:val="baseline"/>
              </w:rPr>
              <w:t>（</w:t>
            </w:r>
            <w:r>
              <w:rPr>
                <w:rFonts w:hint="eastAsia" w:ascii="仿宋" w:hAnsi="仿宋" w:eastAsia="仿宋" w:cs="仿宋"/>
                <w:b w:val="0"/>
                <w:bCs w:val="0"/>
                <w:color w:val="auto"/>
                <w:sz w:val="24"/>
                <w:szCs w:val="24"/>
                <w:vertAlign w:val="baseline"/>
                <w:lang w:val="en-US" w:eastAsia="zh-CN"/>
              </w:rPr>
              <w:t>元/桶</w:t>
            </w:r>
            <w:r>
              <w:rPr>
                <w:rFonts w:hint="eastAsia" w:ascii="仿宋" w:hAnsi="仿宋" w:eastAsia="仿宋" w:cs="仿宋"/>
                <w:b w:val="0"/>
                <w:bCs w:val="0"/>
                <w:color w:val="auto"/>
                <w:sz w:val="24"/>
                <w:szCs w:val="24"/>
                <w:vertAlign w:val="baseline"/>
              </w:rPr>
              <w:t>）</w:t>
            </w:r>
          </w:p>
        </w:tc>
        <w:tc>
          <w:tcPr>
            <w:tcW w:w="1065" w:type="dxa"/>
            <w:vAlign w:val="center"/>
          </w:tcPr>
          <w:p w14:paraId="5EFA3277">
            <w:pPr>
              <w:jc w:val="center"/>
              <w:rPr>
                <w:rFonts w:hint="eastAsia" w:ascii="仿宋" w:hAnsi="仿宋" w:eastAsia="仿宋" w:cs="仿宋"/>
                <w:b w:val="0"/>
                <w:bCs w:val="0"/>
                <w:color w:val="auto"/>
                <w:sz w:val="24"/>
                <w:szCs w:val="24"/>
                <w:vertAlign w:val="baseline"/>
              </w:rPr>
            </w:pPr>
            <w:r>
              <w:rPr>
                <w:rFonts w:hint="eastAsia" w:ascii="仿宋" w:hAnsi="仿宋" w:eastAsia="仿宋" w:cs="仿宋"/>
                <w:b w:val="0"/>
                <w:bCs w:val="0"/>
                <w:color w:val="auto"/>
                <w:sz w:val="24"/>
                <w:szCs w:val="24"/>
                <w:vertAlign w:val="baseline"/>
              </w:rPr>
              <w:t>年预算金额（元）</w:t>
            </w:r>
          </w:p>
        </w:tc>
      </w:tr>
      <w:tr w14:paraId="4C7B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2CAE67BB">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w:t>
            </w:r>
          </w:p>
        </w:tc>
        <w:tc>
          <w:tcPr>
            <w:tcW w:w="789" w:type="dxa"/>
            <w:vAlign w:val="center"/>
          </w:tcPr>
          <w:p w14:paraId="15C30475">
            <w:pPr>
              <w:jc w:val="center"/>
              <w:rPr>
                <w:rFonts w:hint="eastAsia" w:ascii="仿宋" w:hAnsi="仿宋" w:eastAsia="仿宋" w:cs="仿宋"/>
                <w:b w:val="0"/>
                <w:bCs w:val="0"/>
                <w:color w:val="auto"/>
                <w:sz w:val="24"/>
                <w:szCs w:val="24"/>
                <w:vertAlign w:val="baseline"/>
              </w:rPr>
            </w:pPr>
            <w:r>
              <w:rPr>
                <w:rFonts w:hint="eastAsia" w:ascii="仿宋" w:hAnsi="仿宋" w:eastAsia="仿宋" w:cs="仿宋"/>
                <w:b w:val="0"/>
                <w:bCs w:val="0"/>
                <w:color w:val="auto"/>
                <w:sz w:val="24"/>
                <w:szCs w:val="24"/>
                <w:vertAlign w:val="baseline"/>
                <w:lang w:val="en-US" w:eastAsia="zh-CN"/>
              </w:rPr>
              <w:t>医</w:t>
            </w:r>
            <w:r>
              <w:rPr>
                <w:rFonts w:hint="eastAsia" w:ascii="仿宋" w:hAnsi="仿宋" w:eastAsia="仿宋" w:cs="仿宋"/>
                <w:b w:val="0"/>
                <w:bCs w:val="0"/>
                <w:color w:val="auto"/>
                <w:sz w:val="24"/>
                <w:szCs w:val="24"/>
                <w:vertAlign w:val="baseline"/>
              </w:rPr>
              <w:t>用</w:t>
            </w:r>
            <w:r>
              <w:rPr>
                <w:rFonts w:hint="eastAsia" w:ascii="仿宋" w:hAnsi="仿宋" w:eastAsia="仿宋" w:cs="仿宋"/>
                <w:b w:val="0"/>
                <w:bCs w:val="0"/>
                <w:color w:val="auto"/>
                <w:sz w:val="24"/>
                <w:szCs w:val="24"/>
                <w:vertAlign w:val="baseline"/>
                <w:lang w:val="en-US" w:eastAsia="zh-CN"/>
              </w:rPr>
              <w:t xml:space="preserve">   </w:t>
            </w:r>
            <w:r>
              <w:rPr>
                <w:rFonts w:hint="eastAsia" w:ascii="仿宋" w:hAnsi="仿宋" w:eastAsia="仿宋" w:cs="仿宋"/>
                <w:b w:val="0"/>
                <w:bCs w:val="0"/>
                <w:color w:val="auto"/>
                <w:sz w:val="24"/>
                <w:szCs w:val="24"/>
                <w:vertAlign w:val="baseline"/>
              </w:rPr>
              <w:t>洗衣粉</w:t>
            </w:r>
          </w:p>
        </w:tc>
        <w:tc>
          <w:tcPr>
            <w:tcW w:w="4536" w:type="dxa"/>
            <w:vAlign w:val="top"/>
          </w:tcPr>
          <w:p w14:paraId="652DA129">
            <w:pPr>
              <w:numPr>
                <w:ilvl w:val="0"/>
                <w:numId w:val="0"/>
              </w:numPr>
              <w:jc w:val="left"/>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rPr>
              <w:t>符合</w:t>
            </w:r>
            <w:r>
              <w:rPr>
                <w:rFonts w:hint="eastAsia" w:ascii="仿宋" w:hAnsi="仿宋" w:eastAsia="仿宋" w:cs="仿宋"/>
                <w:b w:val="0"/>
                <w:bCs w:val="0"/>
                <w:color w:val="auto"/>
                <w:sz w:val="24"/>
                <w:szCs w:val="24"/>
                <w:vertAlign w:val="baseline"/>
                <w:lang w:val="en-US" w:eastAsia="zh-CN"/>
              </w:rPr>
              <w:t>或优于</w:t>
            </w:r>
            <w:r>
              <w:rPr>
                <w:rFonts w:hint="eastAsia" w:ascii="仿宋" w:hAnsi="仿宋" w:eastAsia="仿宋" w:cs="仿宋"/>
                <w:b w:val="0"/>
                <w:bCs w:val="0"/>
                <w:color w:val="auto"/>
                <w:sz w:val="24"/>
                <w:szCs w:val="24"/>
                <w:vertAlign w:val="baseline"/>
              </w:rPr>
              <w:t>GB/T13171.</w:t>
            </w:r>
            <w:r>
              <w:rPr>
                <w:rFonts w:hint="eastAsia" w:ascii="仿宋" w:hAnsi="仿宋" w:eastAsia="仿宋" w:cs="仿宋"/>
                <w:b w:val="0"/>
                <w:bCs w:val="0"/>
                <w:color w:val="auto"/>
                <w:sz w:val="24"/>
                <w:szCs w:val="24"/>
                <w:vertAlign w:val="baseline"/>
                <w:lang w:val="en-US" w:eastAsia="zh-CN"/>
              </w:rPr>
              <w:t>1</w:t>
            </w:r>
            <w:r>
              <w:rPr>
                <w:rFonts w:hint="eastAsia" w:ascii="仿宋" w:hAnsi="仿宋" w:eastAsia="仿宋" w:cs="仿宋"/>
                <w:b w:val="0"/>
                <w:bCs w:val="0"/>
                <w:color w:val="auto"/>
                <w:sz w:val="24"/>
                <w:szCs w:val="24"/>
                <w:vertAlign w:val="baseline"/>
              </w:rPr>
              <w:t>-</w:t>
            </w:r>
            <w:r>
              <w:rPr>
                <w:rFonts w:hint="eastAsia" w:ascii="仿宋" w:hAnsi="仿宋" w:eastAsia="仿宋" w:cs="仿宋"/>
                <w:b w:val="0"/>
                <w:bCs w:val="0"/>
                <w:color w:val="auto"/>
                <w:sz w:val="24"/>
                <w:szCs w:val="24"/>
                <w:vertAlign w:val="baseline"/>
                <w:lang w:val="en-US" w:eastAsia="zh-CN"/>
              </w:rPr>
              <w:t>2022</w:t>
            </w:r>
            <w:r>
              <w:rPr>
                <w:rFonts w:hint="eastAsia" w:ascii="仿宋" w:hAnsi="仿宋" w:eastAsia="仿宋" w:cs="仿宋"/>
                <w:b w:val="0"/>
                <w:bCs w:val="0"/>
                <w:color w:val="auto"/>
                <w:sz w:val="24"/>
                <w:szCs w:val="24"/>
                <w:vertAlign w:val="baseline"/>
              </w:rPr>
              <w:t>《洗衣粉（无磷型）》WL-A标准</w:t>
            </w:r>
            <w:r>
              <w:rPr>
                <w:rFonts w:hint="eastAsia" w:ascii="仿宋" w:hAnsi="仿宋" w:eastAsia="仿宋" w:cs="仿宋"/>
                <w:b w:val="0"/>
                <w:bCs w:val="0"/>
                <w:color w:val="auto"/>
                <w:sz w:val="24"/>
                <w:szCs w:val="24"/>
                <w:vertAlign w:val="baseline"/>
                <w:lang w:eastAsia="zh-CN"/>
              </w:rPr>
              <w:t>：</w:t>
            </w:r>
          </w:p>
          <w:p w14:paraId="26A41807">
            <w:pPr>
              <w:numPr>
                <w:ilvl w:val="0"/>
                <w:numId w:val="2"/>
              </w:numPr>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外观：不结团的粉状或粒状</w:t>
            </w:r>
          </w:p>
          <w:p w14:paraId="47593495">
            <w:pPr>
              <w:numPr>
                <w:ilvl w:val="0"/>
                <w:numId w:val="2"/>
              </w:numPr>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表观密度(g/cm³)：≥0.3 </w:t>
            </w:r>
          </w:p>
          <w:p w14:paraId="4C68AB9F">
            <w:pPr>
              <w:numPr>
                <w:ilvl w:val="0"/>
                <w:numId w:val="0"/>
              </w:numPr>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3.总活性物含量（%）：≥11</w:t>
            </w:r>
          </w:p>
          <w:p w14:paraId="3E89BBE0">
            <w:pPr>
              <w:numPr>
                <w:ilvl w:val="0"/>
                <w:numId w:val="0"/>
              </w:numPr>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4.总五氧化二磷含量（%）：≤0.5</w:t>
            </w:r>
          </w:p>
          <w:p w14:paraId="3DAD9B82">
            <w:pPr>
              <w:numPr>
                <w:ilvl w:val="0"/>
                <w:numId w:val="0"/>
              </w:numPr>
              <w:jc w:val="left"/>
              <w:rPr>
                <w:rFonts w:hint="eastAsia" w:ascii="仿宋" w:hAnsi="仿宋" w:eastAsia="仿宋" w:cs="仿宋"/>
                <w:b w:val="0"/>
                <w:bCs w:val="0"/>
                <w:color w:val="auto"/>
                <w:sz w:val="24"/>
                <w:szCs w:val="24"/>
                <w:vertAlign w:val="baseline"/>
              </w:rPr>
            </w:pPr>
            <w:r>
              <w:rPr>
                <w:rFonts w:hint="eastAsia" w:ascii="仿宋" w:hAnsi="仿宋" w:eastAsia="仿宋" w:cs="仿宋"/>
                <w:b w:val="0"/>
                <w:bCs w:val="0"/>
                <w:color w:val="auto"/>
                <w:sz w:val="24"/>
                <w:szCs w:val="24"/>
                <w:vertAlign w:val="baseline"/>
                <w:lang w:val="en-US" w:eastAsia="zh-CN"/>
              </w:rPr>
              <w:t>5.游离碱（以NaOH计）含量（%）</w:t>
            </w:r>
            <w:r>
              <w:rPr>
                <w:rFonts w:hint="eastAsia" w:ascii="仿宋" w:hAnsi="仿宋" w:eastAsia="仿宋" w:cs="仿宋"/>
                <w:b w:val="0"/>
                <w:bCs w:val="0"/>
                <w:color w:val="auto"/>
                <w:sz w:val="24"/>
                <w:szCs w:val="24"/>
                <w:vertAlign w:val="baseline"/>
              </w:rPr>
              <w:t xml:space="preserve"> </w:t>
            </w:r>
            <w:r>
              <w:rPr>
                <w:rFonts w:hint="eastAsia" w:ascii="仿宋" w:hAnsi="仿宋" w:eastAsia="仿宋" w:cs="仿宋"/>
                <w:b w:val="0"/>
                <w:bCs w:val="0"/>
                <w:color w:val="auto"/>
                <w:sz w:val="24"/>
                <w:szCs w:val="24"/>
                <w:vertAlign w:val="baseline"/>
                <w:lang w:val="en-US" w:eastAsia="zh-CN"/>
              </w:rPr>
              <w:t>：≤30</w:t>
            </w:r>
            <w:r>
              <w:rPr>
                <w:rFonts w:hint="eastAsia" w:ascii="仿宋" w:hAnsi="仿宋" w:eastAsia="仿宋" w:cs="仿宋"/>
                <w:b w:val="0"/>
                <w:bCs w:val="0"/>
                <w:color w:val="auto"/>
                <w:sz w:val="24"/>
                <w:szCs w:val="24"/>
                <w:vertAlign w:val="baseline"/>
              </w:rPr>
              <w:t xml:space="preserve">  </w:t>
            </w:r>
          </w:p>
          <w:p w14:paraId="151355A1">
            <w:pPr>
              <w:numPr>
                <w:ilvl w:val="0"/>
                <w:numId w:val="0"/>
              </w:numPr>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6.PH(0.1%溶液，25</w:t>
            </w:r>
            <w:r>
              <w:rPr>
                <w:rFonts w:hint="eastAsia" w:ascii="仿宋" w:hAnsi="仿宋" w:eastAsia="仿宋" w:cs="仿宋"/>
                <w:b w:val="0"/>
                <w:bCs w:val="0"/>
                <w:color w:val="auto"/>
                <w:sz w:val="24"/>
                <w:szCs w:val="24"/>
                <w:vertAlign w:val="baseline"/>
              </w:rPr>
              <w:t>℃</w:t>
            </w:r>
            <w:r>
              <w:rPr>
                <w:rFonts w:hint="eastAsia" w:ascii="仿宋" w:hAnsi="仿宋" w:eastAsia="仿宋" w:cs="仿宋"/>
                <w:b w:val="0"/>
                <w:bCs w:val="0"/>
                <w:color w:val="auto"/>
                <w:sz w:val="24"/>
                <w:szCs w:val="24"/>
                <w:vertAlign w:val="baseline"/>
                <w:lang w:val="en-US" w:eastAsia="zh-CN"/>
              </w:rPr>
              <w:t>)：≤12</w:t>
            </w:r>
            <w:r>
              <w:rPr>
                <w:rFonts w:hint="eastAsia" w:ascii="仿宋" w:hAnsi="仿宋" w:eastAsia="仿宋" w:cs="仿宋"/>
                <w:b w:val="0"/>
                <w:bCs w:val="0"/>
                <w:color w:val="auto"/>
                <w:sz w:val="24"/>
                <w:szCs w:val="24"/>
                <w:vertAlign w:val="baseline"/>
              </w:rPr>
              <w:t xml:space="preserve">                                                                                                                                           </w:t>
            </w:r>
            <w:r>
              <w:rPr>
                <w:rFonts w:hint="eastAsia" w:ascii="仿宋" w:hAnsi="仿宋" w:eastAsia="仿宋" w:cs="仿宋"/>
                <w:b w:val="0"/>
                <w:bCs w:val="0"/>
                <w:color w:val="auto"/>
                <w:sz w:val="24"/>
                <w:szCs w:val="24"/>
                <w:vertAlign w:val="baseline"/>
                <w:lang w:val="en-US" w:eastAsia="zh-CN"/>
              </w:rPr>
              <w:t>7.</w:t>
            </w:r>
            <w:r>
              <w:rPr>
                <w:rFonts w:hint="eastAsia" w:ascii="仿宋" w:hAnsi="仿宋" w:eastAsia="仿宋" w:cs="仿宋"/>
                <w:b w:val="0"/>
                <w:bCs w:val="0"/>
                <w:color w:val="auto"/>
                <w:sz w:val="24"/>
                <w:szCs w:val="24"/>
                <w:vertAlign w:val="baseline"/>
              </w:rPr>
              <w:t>规定污布的去污能力</w:t>
            </w:r>
            <w:r>
              <w:rPr>
                <w:rFonts w:hint="eastAsia" w:ascii="仿宋" w:hAnsi="仿宋" w:eastAsia="仿宋" w:cs="仿宋"/>
                <w:b w:val="0"/>
                <w:bCs w:val="0"/>
                <w:color w:val="auto"/>
                <w:sz w:val="24"/>
                <w:szCs w:val="24"/>
                <w:vertAlign w:val="baseline"/>
                <w:lang w:eastAsia="zh-CN"/>
              </w:rPr>
              <w:t>：</w:t>
            </w:r>
            <w:r>
              <w:rPr>
                <w:rFonts w:hint="eastAsia" w:ascii="仿宋" w:hAnsi="仿宋" w:eastAsia="仿宋" w:cs="仿宋"/>
                <w:b w:val="0"/>
                <w:bCs w:val="0"/>
                <w:color w:val="auto"/>
                <w:sz w:val="24"/>
                <w:szCs w:val="24"/>
                <w:vertAlign w:val="baseline"/>
                <w:lang w:val="en-US" w:eastAsia="zh-CN"/>
              </w:rPr>
              <w:t>JB-01、JB-02、JB-03三种试验污布均相当或优于标准洗衣粉去污力</w:t>
            </w:r>
          </w:p>
          <w:p w14:paraId="666ECF22">
            <w:pPr>
              <w:numPr>
                <w:ilvl w:val="0"/>
                <w:numId w:val="0"/>
              </w:numPr>
              <w:jc w:val="left"/>
              <w:rPr>
                <w:rFonts w:hint="eastAsia" w:ascii="仿宋" w:hAnsi="仿宋" w:eastAsia="仿宋" w:cs="仿宋"/>
                <w:b w:val="0"/>
                <w:bCs w:val="0"/>
                <w:color w:val="auto"/>
                <w:sz w:val="24"/>
                <w:szCs w:val="24"/>
                <w:vertAlign w:val="baseline"/>
              </w:rPr>
            </w:pPr>
            <w:r>
              <w:rPr>
                <w:rFonts w:hint="eastAsia" w:ascii="仿宋" w:hAnsi="仿宋" w:eastAsia="仿宋" w:cs="仿宋"/>
                <w:b w:val="0"/>
                <w:bCs w:val="0"/>
                <w:color w:val="auto"/>
                <w:sz w:val="24"/>
                <w:szCs w:val="24"/>
                <w:vertAlign w:val="baseline"/>
                <w:lang w:val="en-US" w:eastAsia="zh-CN"/>
              </w:rPr>
              <w:t>8.循环洗涤性能：相对标准洗衣粉沉积灰分比值≤3.0；洗后织物外观损伤相当或优于标准洗衣粉</w:t>
            </w:r>
            <w:r>
              <w:rPr>
                <w:rFonts w:hint="eastAsia" w:ascii="仿宋" w:hAnsi="仿宋" w:eastAsia="仿宋" w:cs="仿宋"/>
                <w:b w:val="0"/>
                <w:bCs w:val="0"/>
                <w:color w:val="auto"/>
                <w:sz w:val="24"/>
                <w:szCs w:val="24"/>
                <w:vertAlign w:val="baseline"/>
              </w:rPr>
              <w:t xml:space="preserve">                  </w:t>
            </w:r>
          </w:p>
        </w:tc>
        <w:tc>
          <w:tcPr>
            <w:tcW w:w="870" w:type="dxa"/>
            <w:vAlign w:val="center"/>
          </w:tcPr>
          <w:p w14:paraId="58DAB24D">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25</w:t>
            </w:r>
          </w:p>
        </w:tc>
        <w:tc>
          <w:tcPr>
            <w:tcW w:w="911" w:type="dxa"/>
            <w:vAlign w:val="center"/>
          </w:tcPr>
          <w:p w14:paraId="71A26370">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120</w:t>
            </w:r>
          </w:p>
        </w:tc>
        <w:tc>
          <w:tcPr>
            <w:tcW w:w="997" w:type="dxa"/>
            <w:vAlign w:val="center"/>
          </w:tcPr>
          <w:p w14:paraId="4EDED1BB">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190</w:t>
            </w:r>
          </w:p>
        </w:tc>
        <w:tc>
          <w:tcPr>
            <w:tcW w:w="1065" w:type="dxa"/>
            <w:vAlign w:val="center"/>
          </w:tcPr>
          <w:p w14:paraId="789C82D3">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22800</w:t>
            </w:r>
          </w:p>
        </w:tc>
      </w:tr>
      <w:tr w14:paraId="4799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 w:type="dxa"/>
            <w:vAlign w:val="center"/>
          </w:tcPr>
          <w:p w14:paraId="46E6522E">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2</w:t>
            </w:r>
          </w:p>
        </w:tc>
        <w:tc>
          <w:tcPr>
            <w:tcW w:w="789" w:type="dxa"/>
            <w:vAlign w:val="center"/>
          </w:tcPr>
          <w:p w14:paraId="593B36BA">
            <w:pPr>
              <w:jc w:val="center"/>
              <w:rPr>
                <w:rFonts w:hint="eastAsia" w:ascii="仿宋" w:hAnsi="仿宋" w:eastAsia="仿宋" w:cs="仿宋"/>
                <w:b w:val="0"/>
                <w:bCs w:val="0"/>
                <w:color w:val="auto"/>
                <w:sz w:val="24"/>
                <w:szCs w:val="24"/>
                <w:vertAlign w:val="baseline"/>
              </w:rPr>
            </w:pPr>
            <w:r>
              <w:rPr>
                <w:rFonts w:hint="eastAsia" w:ascii="仿宋" w:hAnsi="仿宋" w:eastAsia="仿宋" w:cs="仿宋"/>
                <w:b w:val="0"/>
                <w:bCs w:val="0"/>
                <w:color w:val="auto"/>
                <w:sz w:val="24"/>
                <w:szCs w:val="24"/>
                <w:vertAlign w:val="baseline"/>
                <w:lang w:val="en-US" w:eastAsia="zh-CN"/>
              </w:rPr>
              <w:t>医用</w:t>
            </w:r>
            <w:r>
              <w:rPr>
                <w:rFonts w:hint="eastAsia" w:ascii="仿宋" w:hAnsi="仿宋" w:eastAsia="仿宋" w:cs="仿宋"/>
                <w:b w:val="0"/>
                <w:bCs w:val="0"/>
                <w:color w:val="auto"/>
                <w:sz w:val="24"/>
                <w:szCs w:val="24"/>
                <w:vertAlign w:val="baseline"/>
              </w:rPr>
              <w:t>氯漂粉</w:t>
            </w:r>
          </w:p>
        </w:tc>
        <w:tc>
          <w:tcPr>
            <w:tcW w:w="4536" w:type="dxa"/>
            <w:vAlign w:val="top"/>
          </w:tcPr>
          <w:p w14:paraId="39B9F49C">
            <w:pPr>
              <w:numPr>
                <w:ilvl w:val="0"/>
                <w:numId w:val="0"/>
              </w:numPr>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1.外观：不结团的粉状或粒状，无明显杂质</w:t>
            </w:r>
          </w:p>
          <w:p w14:paraId="02420DA7">
            <w:pPr>
              <w:numPr>
                <w:ilvl w:val="0"/>
                <w:numId w:val="0"/>
              </w:numPr>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2.气味：有氯气味</w:t>
            </w:r>
          </w:p>
          <w:p w14:paraId="59DA8F20">
            <w:pPr>
              <w:numPr>
                <w:ilvl w:val="0"/>
                <w:numId w:val="0"/>
              </w:numPr>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3.有效氯含量,%：≥20</w:t>
            </w:r>
          </w:p>
          <w:p w14:paraId="56283D04">
            <w:pPr>
              <w:numPr>
                <w:ilvl w:val="0"/>
                <w:numId w:val="0"/>
              </w:numPr>
              <w:jc w:val="left"/>
              <w:rPr>
                <w:rFonts w:hint="eastAsia" w:ascii="仿宋" w:hAnsi="仿宋" w:eastAsia="仿宋" w:cs="仿宋"/>
                <w:b w:val="0"/>
                <w:bCs w:val="0"/>
                <w:color w:val="auto"/>
                <w:sz w:val="24"/>
                <w:szCs w:val="24"/>
                <w:vertAlign w:val="baseline"/>
              </w:rPr>
            </w:pPr>
            <w:r>
              <w:rPr>
                <w:rFonts w:hint="eastAsia" w:ascii="仿宋" w:hAnsi="仿宋" w:eastAsia="仿宋" w:cs="仿宋"/>
                <w:b w:val="0"/>
                <w:bCs w:val="0"/>
                <w:color w:val="auto"/>
                <w:sz w:val="24"/>
                <w:szCs w:val="24"/>
                <w:vertAlign w:val="baseline"/>
                <w:lang w:val="en-US" w:eastAsia="zh-CN"/>
              </w:rPr>
              <w:t>4.PH(1%水溶液，25</w:t>
            </w:r>
            <w:r>
              <w:rPr>
                <w:rFonts w:hint="eastAsia" w:ascii="仿宋" w:hAnsi="仿宋" w:eastAsia="仿宋" w:cs="仿宋"/>
                <w:b w:val="0"/>
                <w:bCs w:val="0"/>
                <w:color w:val="auto"/>
                <w:sz w:val="24"/>
                <w:szCs w:val="24"/>
                <w:vertAlign w:val="baseline"/>
              </w:rPr>
              <w:t>℃</w:t>
            </w:r>
            <w:r>
              <w:rPr>
                <w:rFonts w:hint="eastAsia" w:ascii="仿宋" w:hAnsi="仿宋" w:eastAsia="仿宋" w:cs="仿宋"/>
                <w:b w:val="0"/>
                <w:bCs w:val="0"/>
                <w:color w:val="auto"/>
                <w:sz w:val="24"/>
                <w:szCs w:val="24"/>
                <w:vertAlign w:val="baseline"/>
                <w:lang w:val="en-US" w:eastAsia="zh-CN"/>
              </w:rPr>
              <w:t>)：6-7</w:t>
            </w:r>
          </w:p>
          <w:p w14:paraId="5588919B">
            <w:pPr>
              <w:numPr>
                <w:ilvl w:val="0"/>
                <w:numId w:val="0"/>
              </w:numPr>
              <w:jc w:val="left"/>
              <w:rPr>
                <w:rFonts w:hint="eastAsia" w:ascii="仿宋" w:hAnsi="仿宋" w:eastAsia="仿宋" w:cs="仿宋"/>
                <w:b w:val="0"/>
                <w:bCs w:val="0"/>
                <w:color w:val="auto"/>
                <w:sz w:val="24"/>
                <w:szCs w:val="24"/>
                <w:vertAlign w:val="baseline"/>
              </w:rPr>
            </w:pPr>
            <w:r>
              <w:rPr>
                <w:rFonts w:hint="eastAsia" w:ascii="仿宋" w:hAnsi="仿宋" w:eastAsia="仿宋" w:cs="仿宋"/>
                <w:b w:val="0"/>
                <w:bCs w:val="0"/>
                <w:color w:val="auto"/>
                <w:sz w:val="24"/>
                <w:szCs w:val="24"/>
                <w:vertAlign w:val="baseline"/>
                <w:lang w:val="en-US" w:eastAsia="zh-CN"/>
              </w:rPr>
              <w:t>5.总五氧化二磷含量（%）：≤0.5</w:t>
            </w:r>
            <w:r>
              <w:rPr>
                <w:rFonts w:hint="eastAsia" w:ascii="仿宋" w:hAnsi="仿宋" w:eastAsia="仿宋" w:cs="仿宋"/>
                <w:b w:val="0"/>
                <w:bCs w:val="0"/>
                <w:color w:val="auto"/>
                <w:sz w:val="24"/>
                <w:szCs w:val="24"/>
                <w:vertAlign w:val="baseline"/>
              </w:rPr>
              <w:t xml:space="preserve">                                                                                                                          </w:t>
            </w:r>
          </w:p>
        </w:tc>
        <w:tc>
          <w:tcPr>
            <w:tcW w:w="870" w:type="dxa"/>
            <w:vAlign w:val="center"/>
          </w:tcPr>
          <w:p w14:paraId="36BB0FE8">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25</w:t>
            </w:r>
          </w:p>
        </w:tc>
        <w:tc>
          <w:tcPr>
            <w:tcW w:w="911" w:type="dxa"/>
            <w:vAlign w:val="center"/>
          </w:tcPr>
          <w:p w14:paraId="52309C7E">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20</w:t>
            </w:r>
          </w:p>
        </w:tc>
        <w:tc>
          <w:tcPr>
            <w:tcW w:w="997" w:type="dxa"/>
            <w:vAlign w:val="center"/>
          </w:tcPr>
          <w:p w14:paraId="6555A471">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220</w:t>
            </w:r>
          </w:p>
        </w:tc>
        <w:tc>
          <w:tcPr>
            <w:tcW w:w="1065" w:type="dxa"/>
            <w:vAlign w:val="center"/>
          </w:tcPr>
          <w:p w14:paraId="6525A63A">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4400</w:t>
            </w:r>
          </w:p>
        </w:tc>
      </w:tr>
      <w:tr w14:paraId="7A91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8" w:type="dxa"/>
            <w:vAlign w:val="center"/>
          </w:tcPr>
          <w:p w14:paraId="0734BD50">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3</w:t>
            </w:r>
          </w:p>
        </w:tc>
        <w:tc>
          <w:tcPr>
            <w:tcW w:w="789" w:type="dxa"/>
            <w:vAlign w:val="center"/>
          </w:tcPr>
          <w:p w14:paraId="76274B09">
            <w:pPr>
              <w:jc w:val="both"/>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4"/>
                <w:szCs w:val="24"/>
                <w:vertAlign w:val="baseline"/>
                <w:lang w:val="en-US" w:eastAsia="zh-CN"/>
              </w:rPr>
              <w:t>油污乳化剂</w:t>
            </w:r>
          </w:p>
        </w:tc>
        <w:tc>
          <w:tcPr>
            <w:tcW w:w="4536" w:type="dxa"/>
            <w:vAlign w:val="top"/>
          </w:tcPr>
          <w:p w14:paraId="4135D609">
            <w:pPr>
              <w:numPr>
                <w:ilvl w:val="0"/>
                <w:numId w:val="3"/>
              </w:numPr>
              <w:ind w:left="0" w:leftChars="0" w:firstLine="0" w:firstLineChars="0"/>
              <w:jc w:val="left"/>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外观：无色透明粘稠液体</w:t>
            </w:r>
          </w:p>
          <w:p w14:paraId="2B7A1767">
            <w:pPr>
              <w:numPr>
                <w:ilvl w:val="0"/>
                <w:numId w:val="3"/>
              </w:numPr>
              <w:ind w:left="0" w:leftChars="0" w:firstLine="0" w:firstLineChars="0"/>
              <w:jc w:val="left"/>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气味：无异味</w:t>
            </w:r>
          </w:p>
          <w:p w14:paraId="20C66E20">
            <w:pPr>
              <w:numPr>
                <w:ilvl w:val="0"/>
                <w:numId w:val="3"/>
              </w:numPr>
              <w:ind w:left="0" w:leftChars="0" w:firstLine="0" w:firstLineChars="0"/>
              <w:jc w:val="left"/>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密度</w:t>
            </w:r>
            <w:r>
              <w:rPr>
                <w:rFonts w:hint="eastAsia" w:ascii="仿宋" w:hAnsi="仿宋" w:eastAsia="仿宋" w:cs="仿宋"/>
                <w:b w:val="0"/>
                <w:bCs w:val="0"/>
                <w:color w:val="auto"/>
                <w:sz w:val="24"/>
                <w:szCs w:val="24"/>
                <w:vertAlign w:val="baseline"/>
                <w:lang w:val="en-US" w:eastAsia="zh-CN"/>
              </w:rPr>
              <w:t>(g/cm³)</w:t>
            </w:r>
            <w:r>
              <w:rPr>
                <w:rFonts w:hint="eastAsia" w:ascii="仿宋" w:hAnsi="仿宋" w:eastAsia="仿宋" w:cs="仿宋"/>
                <w:b w:val="0"/>
                <w:bCs w:val="0"/>
                <w:color w:val="auto"/>
                <w:sz w:val="21"/>
                <w:szCs w:val="21"/>
                <w:vertAlign w:val="baseline"/>
                <w:lang w:val="en-US" w:eastAsia="zh-CN"/>
              </w:rPr>
              <w:t>：</w:t>
            </w:r>
            <w:r>
              <w:rPr>
                <w:rFonts w:hint="eastAsia" w:ascii="仿宋" w:hAnsi="仿宋" w:eastAsia="仿宋" w:cs="仿宋"/>
                <w:b w:val="0"/>
                <w:bCs w:val="0"/>
                <w:color w:val="auto"/>
                <w:sz w:val="24"/>
                <w:szCs w:val="24"/>
                <w:vertAlign w:val="baseline"/>
                <w:lang w:val="en-US" w:eastAsia="zh-CN"/>
              </w:rPr>
              <w:t>≤1.05</w:t>
            </w:r>
          </w:p>
          <w:p w14:paraId="653EC28B">
            <w:pPr>
              <w:numPr>
                <w:ilvl w:val="0"/>
                <w:numId w:val="3"/>
              </w:numPr>
              <w:ind w:left="0" w:leftChars="0" w:firstLine="0" w:firstLineChars="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总活性物质质量分数（%）：≥38</w:t>
            </w:r>
          </w:p>
          <w:p w14:paraId="7C58B4DF">
            <w:pPr>
              <w:numPr>
                <w:ilvl w:val="0"/>
                <w:numId w:val="3"/>
              </w:numPr>
              <w:ind w:left="0" w:leftChars="0" w:firstLine="0" w:firstLineChars="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PH（1%溶液25℃）：6-7</w:t>
            </w:r>
          </w:p>
          <w:p w14:paraId="1D64F66A">
            <w:pPr>
              <w:numPr>
                <w:ilvl w:val="0"/>
                <w:numId w:val="3"/>
              </w:numPr>
              <w:ind w:left="0" w:leftChars="0" w:firstLine="0" w:firstLineChars="0"/>
              <w:jc w:val="lef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总固形物质含量：≥38</w:t>
            </w:r>
          </w:p>
          <w:p w14:paraId="48696A76">
            <w:pPr>
              <w:numPr>
                <w:ilvl w:val="0"/>
                <w:numId w:val="3"/>
              </w:numPr>
              <w:ind w:left="0" w:leftChars="0" w:firstLine="0" w:firstLineChars="0"/>
              <w:jc w:val="left"/>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总五氧化二磷质量分数（%）：≤1.05</w:t>
            </w:r>
          </w:p>
        </w:tc>
        <w:tc>
          <w:tcPr>
            <w:tcW w:w="870" w:type="dxa"/>
            <w:vAlign w:val="center"/>
          </w:tcPr>
          <w:p w14:paraId="0FDA4494">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20</w:t>
            </w:r>
          </w:p>
        </w:tc>
        <w:tc>
          <w:tcPr>
            <w:tcW w:w="911" w:type="dxa"/>
            <w:vAlign w:val="center"/>
          </w:tcPr>
          <w:p w14:paraId="636A696E">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11</w:t>
            </w:r>
          </w:p>
        </w:tc>
        <w:tc>
          <w:tcPr>
            <w:tcW w:w="997" w:type="dxa"/>
            <w:vAlign w:val="center"/>
          </w:tcPr>
          <w:p w14:paraId="2F22608A">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200</w:t>
            </w:r>
          </w:p>
        </w:tc>
        <w:tc>
          <w:tcPr>
            <w:tcW w:w="1065" w:type="dxa"/>
            <w:vAlign w:val="center"/>
          </w:tcPr>
          <w:p w14:paraId="03F449DC">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2000</w:t>
            </w:r>
          </w:p>
        </w:tc>
      </w:tr>
      <w:tr w14:paraId="5EE9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8" w:type="dxa"/>
            <w:vAlign w:val="center"/>
          </w:tcPr>
          <w:p w14:paraId="29B956D0">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4</w:t>
            </w:r>
          </w:p>
        </w:tc>
        <w:tc>
          <w:tcPr>
            <w:tcW w:w="789" w:type="dxa"/>
            <w:vAlign w:val="center"/>
          </w:tcPr>
          <w:p w14:paraId="37676FC1">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医用氧漂剂</w:t>
            </w:r>
          </w:p>
        </w:tc>
        <w:tc>
          <w:tcPr>
            <w:tcW w:w="4536" w:type="dxa"/>
          </w:tcPr>
          <w:p w14:paraId="63402A82">
            <w:pPr>
              <w:numPr>
                <w:ilvl w:val="0"/>
                <w:numId w:val="4"/>
              </w:numP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外观：透明液体</w:t>
            </w:r>
          </w:p>
          <w:p w14:paraId="7A4FCA8A">
            <w:pPr>
              <w:numPr>
                <w:ilvl w:val="0"/>
                <w:numId w:val="4"/>
              </w:numP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气味：无异味</w:t>
            </w:r>
          </w:p>
          <w:p w14:paraId="17CC3C79">
            <w:pPr>
              <w:numPr>
                <w:ilvl w:val="0"/>
                <w:numId w:val="4"/>
              </w:numP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1"/>
                <w:szCs w:val="21"/>
                <w:vertAlign w:val="baseline"/>
                <w:lang w:val="en-US" w:eastAsia="zh-CN"/>
              </w:rPr>
              <w:t>有效氧含量</w:t>
            </w:r>
            <w:r>
              <w:rPr>
                <w:rFonts w:hint="eastAsia" w:ascii="仿宋" w:hAnsi="仿宋" w:eastAsia="仿宋" w:cs="仿宋"/>
                <w:b w:val="0"/>
                <w:bCs w:val="0"/>
                <w:color w:val="auto"/>
                <w:sz w:val="24"/>
                <w:szCs w:val="24"/>
                <w:vertAlign w:val="baseline"/>
                <w:lang w:val="en-US" w:eastAsia="zh-CN"/>
              </w:rPr>
              <w:t>（%）</w:t>
            </w:r>
            <w:r>
              <w:rPr>
                <w:rFonts w:hint="eastAsia" w:ascii="仿宋" w:hAnsi="仿宋" w:eastAsia="仿宋" w:cs="仿宋"/>
                <w:b w:val="0"/>
                <w:bCs w:val="0"/>
                <w:color w:val="auto"/>
                <w:sz w:val="21"/>
                <w:szCs w:val="21"/>
                <w:vertAlign w:val="baseline"/>
                <w:lang w:val="en-US" w:eastAsia="zh-CN"/>
              </w:rPr>
              <w:t>：</w:t>
            </w:r>
            <w:r>
              <w:rPr>
                <w:rFonts w:hint="eastAsia" w:ascii="仿宋" w:hAnsi="仿宋" w:eastAsia="仿宋" w:cs="仿宋"/>
                <w:b w:val="0"/>
                <w:bCs w:val="0"/>
                <w:color w:val="auto"/>
                <w:sz w:val="24"/>
                <w:szCs w:val="24"/>
                <w:vertAlign w:val="baseline"/>
                <w:lang w:val="en-US" w:eastAsia="zh-CN"/>
              </w:rPr>
              <w:t>≥12</w:t>
            </w:r>
          </w:p>
          <w:p w14:paraId="25224891">
            <w:pPr>
              <w:numPr>
                <w:ilvl w:val="0"/>
                <w:numId w:val="4"/>
              </w:numP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4"/>
                <w:szCs w:val="24"/>
                <w:vertAlign w:val="baseline"/>
                <w:lang w:val="en-US" w:eastAsia="zh-CN"/>
              </w:rPr>
              <w:t>PH（1%溶液25℃）：3-5</w:t>
            </w:r>
            <w:r>
              <w:rPr>
                <w:rFonts w:hint="eastAsia" w:ascii="仿宋" w:hAnsi="仿宋" w:eastAsia="仿宋" w:cs="仿宋"/>
                <w:b w:val="0"/>
                <w:bCs w:val="0"/>
                <w:color w:val="auto"/>
                <w:sz w:val="24"/>
                <w:szCs w:val="24"/>
                <w:vertAlign w:val="baseline"/>
              </w:rPr>
              <w:t xml:space="preserve"> </w:t>
            </w:r>
          </w:p>
        </w:tc>
        <w:tc>
          <w:tcPr>
            <w:tcW w:w="870" w:type="dxa"/>
            <w:vAlign w:val="center"/>
          </w:tcPr>
          <w:p w14:paraId="1F511724">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20</w:t>
            </w:r>
          </w:p>
        </w:tc>
        <w:tc>
          <w:tcPr>
            <w:tcW w:w="911" w:type="dxa"/>
            <w:vAlign w:val="center"/>
          </w:tcPr>
          <w:p w14:paraId="6B5FE02B">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20</w:t>
            </w:r>
          </w:p>
        </w:tc>
        <w:tc>
          <w:tcPr>
            <w:tcW w:w="997" w:type="dxa"/>
            <w:vAlign w:val="center"/>
          </w:tcPr>
          <w:p w14:paraId="08EEAB88">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180</w:t>
            </w:r>
          </w:p>
        </w:tc>
        <w:tc>
          <w:tcPr>
            <w:tcW w:w="1065" w:type="dxa"/>
            <w:vAlign w:val="center"/>
          </w:tcPr>
          <w:p w14:paraId="0FE99363">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3600</w:t>
            </w:r>
          </w:p>
        </w:tc>
      </w:tr>
      <w:tr w14:paraId="5696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8" w:type="dxa"/>
            <w:vAlign w:val="center"/>
          </w:tcPr>
          <w:p w14:paraId="77CCB4DB">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5</w:t>
            </w:r>
          </w:p>
        </w:tc>
        <w:tc>
          <w:tcPr>
            <w:tcW w:w="789" w:type="dxa"/>
            <w:vAlign w:val="center"/>
          </w:tcPr>
          <w:p w14:paraId="4DD460B7">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中和除锈增白酸粉</w:t>
            </w:r>
          </w:p>
        </w:tc>
        <w:tc>
          <w:tcPr>
            <w:tcW w:w="4536" w:type="dxa"/>
          </w:tcPr>
          <w:p w14:paraId="7949493C">
            <w:pPr>
              <w:numPr>
                <w:ilvl w:val="0"/>
                <w:numId w:val="5"/>
              </w:numP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外观：不结团/块的粉状</w:t>
            </w:r>
          </w:p>
          <w:p w14:paraId="69BE0889">
            <w:pPr>
              <w:numPr>
                <w:ilvl w:val="0"/>
                <w:numId w:val="5"/>
              </w:numP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气味：无异味</w:t>
            </w:r>
          </w:p>
          <w:p w14:paraId="06A78924">
            <w:pPr>
              <w:numPr>
                <w:ilvl w:val="0"/>
                <w:numId w:val="5"/>
              </w:numP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表观密度</w:t>
            </w:r>
            <w:r>
              <w:rPr>
                <w:rFonts w:hint="eastAsia" w:ascii="仿宋" w:hAnsi="仿宋" w:eastAsia="仿宋" w:cs="仿宋"/>
                <w:b w:val="0"/>
                <w:bCs w:val="0"/>
                <w:color w:val="auto"/>
                <w:sz w:val="24"/>
                <w:szCs w:val="24"/>
                <w:vertAlign w:val="baseline"/>
                <w:lang w:val="en-US" w:eastAsia="zh-CN"/>
              </w:rPr>
              <w:t>(g/cm³)</w:t>
            </w:r>
            <w:r>
              <w:rPr>
                <w:rFonts w:hint="eastAsia" w:ascii="仿宋" w:hAnsi="仿宋" w:eastAsia="仿宋" w:cs="仿宋"/>
                <w:b w:val="0"/>
                <w:bCs w:val="0"/>
                <w:color w:val="auto"/>
                <w:sz w:val="21"/>
                <w:szCs w:val="21"/>
                <w:vertAlign w:val="baseline"/>
                <w:lang w:val="en-US" w:eastAsia="zh-CN"/>
              </w:rPr>
              <w:t>：</w:t>
            </w:r>
            <w:r>
              <w:rPr>
                <w:rFonts w:hint="eastAsia" w:ascii="仿宋" w:hAnsi="仿宋" w:eastAsia="仿宋" w:cs="仿宋"/>
                <w:b w:val="0"/>
                <w:bCs w:val="0"/>
                <w:color w:val="auto"/>
                <w:sz w:val="24"/>
                <w:szCs w:val="24"/>
                <w:vertAlign w:val="baseline"/>
                <w:lang w:val="en-US" w:eastAsia="zh-CN"/>
              </w:rPr>
              <w:t>≥1</w:t>
            </w:r>
          </w:p>
          <w:p w14:paraId="065A7306">
            <w:pPr>
              <w:numPr>
                <w:ilvl w:val="0"/>
                <w:numId w:val="5"/>
              </w:numP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4"/>
                <w:szCs w:val="24"/>
                <w:vertAlign w:val="baseline"/>
                <w:lang w:val="en-US" w:eastAsia="zh-CN"/>
              </w:rPr>
              <w:t>总酸度（以HCI计）（%）</w:t>
            </w:r>
            <w:r>
              <w:rPr>
                <w:rFonts w:hint="eastAsia" w:ascii="仿宋" w:hAnsi="仿宋" w:eastAsia="仿宋" w:cs="仿宋"/>
                <w:b w:val="0"/>
                <w:bCs w:val="0"/>
                <w:color w:val="auto"/>
                <w:sz w:val="21"/>
                <w:szCs w:val="21"/>
                <w:vertAlign w:val="baseline"/>
                <w:lang w:val="en-US" w:eastAsia="zh-CN"/>
              </w:rPr>
              <w:t>：</w:t>
            </w:r>
            <w:r>
              <w:rPr>
                <w:rFonts w:hint="eastAsia" w:ascii="仿宋" w:hAnsi="仿宋" w:eastAsia="仿宋" w:cs="仿宋"/>
                <w:b w:val="0"/>
                <w:bCs w:val="0"/>
                <w:color w:val="auto"/>
                <w:sz w:val="24"/>
                <w:szCs w:val="24"/>
                <w:vertAlign w:val="baseline"/>
                <w:lang w:val="en-US" w:eastAsia="zh-CN"/>
              </w:rPr>
              <w:t>≥19</w:t>
            </w:r>
          </w:p>
        </w:tc>
        <w:tc>
          <w:tcPr>
            <w:tcW w:w="870" w:type="dxa"/>
            <w:vAlign w:val="center"/>
          </w:tcPr>
          <w:p w14:paraId="0B0BBF52">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20</w:t>
            </w:r>
          </w:p>
        </w:tc>
        <w:tc>
          <w:tcPr>
            <w:tcW w:w="911" w:type="dxa"/>
            <w:vAlign w:val="center"/>
          </w:tcPr>
          <w:p w14:paraId="11C19158">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10</w:t>
            </w:r>
          </w:p>
        </w:tc>
        <w:tc>
          <w:tcPr>
            <w:tcW w:w="997" w:type="dxa"/>
            <w:vAlign w:val="center"/>
          </w:tcPr>
          <w:p w14:paraId="2F773429">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200</w:t>
            </w:r>
          </w:p>
        </w:tc>
        <w:tc>
          <w:tcPr>
            <w:tcW w:w="1065" w:type="dxa"/>
            <w:vAlign w:val="center"/>
          </w:tcPr>
          <w:p w14:paraId="73FF0021">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2000</w:t>
            </w:r>
          </w:p>
        </w:tc>
      </w:tr>
      <w:tr w14:paraId="193F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8" w:type="dxa"/>
          </w:tcPr>
          <w:p w14:paraId="2598E756">
            <w:pPr>
              <w:jc w:val="center"/>
              <w:rPr>
                <w:rFonts w:hint="default" w:ascii="仿宋" w:hAnsi="仿宋" w:eastAsia="仿宋" w:cs="仿宋"/>
                <w:b w:val="0"/>
                <w:bCs w:val="0"/>
                <w:color w:val="auto"/>
                <w:sz w:val="21"/>
                <w:szCs w:val="21"/>
                <w:vertAlign w:val="baseline"/>
                <w:lang w:val="en-US" w:eastAsia="zh-CN"/>
              </w:rPr>
            </w:pPr>
          </w:p>
        </w:tc>
        <w:tc>
          <w:tcPr>
            <w:tcW w:w="789" w:type="dxa"/>
            <w:vAlign w:val="center"/>
          </w:tcPr>
          <w:p w14:paraId="5203748A">
            <w:pPr>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合计</w:t>
            </w:r>
          </w:p>
        </w:tc>
        <w:tc>
          <w:tcPr>
            <w:tcW w:w="4536" w:type="dxa"/>
          </w:tcPr>
          <w:p w14:paraId="7A773667">
            <w:pPr>
              <w:rPr>
                <w:rFonts w:hint="eastAsia" w:ascii="仿宋" w:hAnsi="仿宋" w:eastAsia="仿宋" w:cs="仿宋"/>
                <w:b w:val="0"/>
                <w:bCs w:val="0"/>
                <w:color w:val="auto"/>
                <w:sz w:val="21"/>
                <w:szCs w:val="21"/>
                <w:vertAlign w:val="baseline"/>
              </w:rPr>
            </w:pPr>
          </w:p>
        </w:tc>
        <w:tc>
          <w:tcPr>
            <w:tcW w:w="870" w:type="dxa"/>
            <w:vAlign w:val="center"/>
          </w:tcPr>
          <w:p w14:paraId="0FB0767E">
            <w:pPr>
              <w:jc w:val="center"/>
              <w:rPr>
                <w:rFonts w:hint="eastAsia" w:ascii="仿宋" w:hAnsi="仿宋" w:eastAsia="仿宋" w:cs="仿宋"/>
                <w:b w:val="0"/>
                <w:bCs w:val="0"/>
                <w:color w:val="auto"/>
                <w:sz w:val="21"/>
                <w:szCs w:val="21"/>
                <w:vertAlign w:val="baseline"/>
              </w:rPr>
            </w:pPr>
          </w:p>
        </w:tc>
        <w:tc>
          <w:tcPr>
            <w:tcW w:w="911" w:type="dxa"/>
            <w:vAlign w:val="center"/>
          </w:tcPr>
          <w:p w14:paraId="36C97667">
            <w:pPr>
              <w:jc w:val="center"/>
              <w:rPr>
                <w:rFonts w:hint="eastAsia" w:ascii="仿宋" w:hAnsi="仿宋" w:eastAsia="仿宋" w:cs="仿宋"/>
                <w:b w:val="0"/>
                <w:bCs w:val="0"/>
                <w:color w:val="auto"/>
                <w:sz w:val="21"/>
                <w:szCs w:val="21"/>
                <w:vertAlign w:val="baseline"/>
              </w:rPr>
            </w:pPr>
          </w:p>
        </w:tc>
        <w:tc>
          <w:tcPr>
            <w:tcW w:w="997" w:type="dxa"/>
            <w:vAlign w:val="center"/>
          </w:tcPr>
          <w:p w14:paraId="15CFFA41">
            <w:pPr>
              <w:jc w:val="center"/>
              <w:rPr>
                <w:rFonts w:hint="eastAsia" w:ascii="仿宋" w:hAnsi="仿宋" w:eastAsia="仿宋" w:cs="仿宋"/>
                <w:b w:val="0"/>
                <w:bCs w:val="0"/>
                <w:color w:val="auto"/>
                <w:sz w:val="21"/>
                <w:szCs w:val="21"/>
                <w:vertAlign w:val="baseline"/>
              </w:rPr>
            </w:pPr>
          </w:p>
        </w:tc>
        <w:tc>
          <w:tcPr>
            <w:tcW w:w="1065" w:type="dxa"/>
            <w:vAlign w:val="center"/>
          </w:tcPr>
          <w:p w14:paraId="4C5C4B4A">
            <w:pPr>
              <w:jc w:val="center"/>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35000</w:t>
            </w:r>
          </w:p>
        </w:tc>
      </w:tr>
    </w:tbl>
    <w:p w14:paraId="411A740E">
      <w:pPr>
        <w:numPr>
          <w:ilvl w:val="0"/>
          <w:numId w:val="0"/>
        </w:numPr>
        <w:spacing w:line="560" w:lineRule="exact"/>
        <w:ind w:leftChars="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备注：</w:t>
      </w:r>
    </w:p>
    <w:p w14:paraId="4B914877">
      <w:pPr>
        <w:numPr>
          <w:ilvl w:val="0"/>
          <w:numId w:val="0"/>
        </w:numPr>
        <w:spacing w:line="560" w:lineRule="exact"/>
        <w:ind w:left="0" w:leftChars="0"/>
        <w:rPr>
          <w:rFonts w:hint="eastAsia" w:ascii="仿宋" w:hAnsi="仿宋" w:eastAsia="仿宋" w:cs="仿宋"/>
          <w:color w:val="auto"/>
          <w:sz w:val="21"/>
          <w:szCs w:val="21"/>
          <w:lang w:eastAsia="zh-CN"/>
        </w:rPr>
      </w:pPr>
      <w:r>
        <w:rPr>
          <w:rFonts w:hint="eastAsia" w:ascii="仿宋" w:hAnsi="仿宋" w:eastAsia="仿宋" w:cs="仿宋"/>
          <w:color w:val="auto"/>
          <w:kern w:val="2"/>
          <w:sz w:val="21"/>
          <w:szCs w:val="21"/>
          <w:lang w:val="en-US" w:eastAsia="zh-CN" w:bidi="ar-SA"/>
        </w:rPr>
        <w:t>1.</w:t>
      </w:r>
      <w:r>
        <w:rPr>
          <w:rFonts w:hint="eastAsia" w:ascii="仿宋" w:hAnsi="仿宋" w:eastAsia="仿宋" w:cs="仿宋"/>
          <w:color w:val="auto"/>
          <w:sz w:val="21"/>
          <w:szCs w:val="21"/>
        </w:rPr>
        <w:t>以上参数投标供应商需提供国家认可资质的第三方检测机构出具的合格检测报告复印</w:t>
      </w:r>
      <w:r>
        <w:rPr>
          <w:rFonts w:hint="eastAsia" w:ascii="仿宋" w:hAnsi="仿宋" w:eastAsia="仿宋" w:cs="仿宋"/>
          <w:color w:val="auto"/>
          <w:sz w:val="21"/>
          <w:szCs w:val="21"/>
          <w:lang w:eastAsia="zh-CN"/>
        </w:rPr>
        <w:t>；</w:t>
      </w:r>
    </w:p>
    <w:p w14:paraId="35EC382D">
      <w:pPr>
        <w:numPr>
          <w:ilvl w:val="0"/>
          <w:numId w:val="0"/>
        </w:numPr>
        <w:spacing w:line="560" w:lineRule="exact"/>
        <w:ind w:left="0" w:leftChars="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采购清单中产品的技术参数描述如与特定品牌或者型号相匹配，仅作为技术参考，不代表特定产品，供应商可提供等同或优于参数要求的产品；</w:t>
      </w:r>
    </w:p>
    <w:p w14:paraId="350E5955">
      <w:pPr>
        <w:numPr>
          <w:ilvl w:val="0"/>
          <w:numId w:val="0"/>
        </w:numPr>
        <w:spacing w:line="560" w:lineRule="exact"/>
        <w:ind w:left="0" w:leftChars="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 xml:space="preserve">本项目采购清单中采购标的名称，因采购人不能穷尽详列或通俗认知等原因，可能供应商提供的产品所对应的证书、证明材料对产品命名存在差别，在满足技术参数要求前提下，本项目给予认可。 </w:t>
      </w:r>
    </w:p>
    <w:p w14:paraId="3B39A301">
      <w:pPr>
        <w:numPr>
          <w:ilvl w:val="0"/>
          <w:numId w:val="0"/>
        </w:numPr>
        <w:spacing w:line="560" w:lineRule="exact"/>
        <w:ind w:left="0" w:leftChars="0"/>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.参数需提供具有检测资质的检测机构出具的检测报告复印件加盖投标人公章，未提供有效证明材料或证明材料中内容与所要求指标不一致的，该条参数视为负偏离</w:t>
      </w:r>
      <w:r>
        <w:rPr>
          <w:rFonts w:hint="eastAsia" w:ascii="仿宋" w:hAnsi="仿宋" w:eastAsia="仿宋" w:cs="仿宋"/>
          <w:color w:val="auto"/>
          <w:sz w:val="21"/>
          <w:szCs w:val="21"/>
          <w:lang w:eastAsia="zh-CN"/>
        </w:rPr>
        <w:t>。</w:t>
      </w:r>
    </w:p>
    <w:p w14:paraId="7D81BB8A">
      <w:pPr>
        <w:numPr>
          <w:ilvl w:val="0"/>
          <w:numId w:val="0"/>
        </w:numPr>
        <w:spacing w:line="560" w:lineRule="exact"/>
        <w:ind w:left="0" w:leftChars="0"/>
        <w:rPr>
          <w:rFonts w:hint="eastAsia" w:ascii="仿宋" w:hAnsi="仿宋" w:eastAsia="仿宋" w:cs="仿宋"/>
          <w:color w:val="auto"/>
          <w:sz w:val="21"/>
          <w:szCs w:val="21"/>
          <w:lang w:eastAsia="zh-CN"/>
        </w:rPr>
      </w:pPr>
    </w:p>
    <w:p w14:paraId="2A6C20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二、商务要求（实质性要求）</w:t>
      </w:r>
    </w:p>
    <w:p w14:paraId="14D51026">
      <w:pPr>
        <w:numPr>
          <w:ilvl w:val="0"/>
          <w:numId w:val="0"/>
        </w:numPr>
        <w:spacing w:line="560" w:lineRule="exact"/>
        <w:ind w:leftChars="0" w:firstLine="640" w:firstLineChars="200"/>
        <w:rPr>
          <w:rFonts w:hint="default" w:ascii="仿宋" w:hAnsi="仿宋" w:eastAsia="仿宋" w:cs="Helvetica"/>
          <w:color w:val="auto"/>
          <w:kern w:val="0"/>
          <w:sz w:val="32"/>
          <w:szCs w:val="32"/>
          <w:lang w:val="en-US" w:eastAsia="zh-CN"/>
        </w:rPr>
      </w:pPr>
      <w:r>
        <w:rPr>
          <w:rFonts w:hint="eastAsia" w:ascii="仿宋" w:hAnsi="仿宋" w:eastAsia="仿宋" w:cs="Helvetica"/>
          <w:color w:val="auto"/>
          <w:kern w:val="0"/>
          <w:sz w:val="32"/>
          <w:szCs w:val="32"/>
          <w:lang w:val="en-US" w:eastAsia="zh-CN"/>
        </w:rPr>
        <w:t>1.中标供应商在签订合同前</w:t>
      </w:r>
      <w:r>
        <w:rPr>
          <w:rFonts w:hint="eastAsia" w:ascii="仿宋" w:hAnsi="仿宋" w:eastAsia="仿宋" w:cs="Helvetica"/>
          <w:color w:val="auto"/>
          <w:kern w:val="0"/>
          <w:sz w:val="32"/>
          <w:szCs w:val="32"/>
          <w:u w:val="single"/>
          <w:lang w:val="en-US" w:eastAsia="zh-CN"/>
        </w:rPr>
        <w:t>提供一周产品免费试用服务</w:t>
      </w:r>
      <w:r>
        <w:rPr>
          <w:rFonts w:hint="eastAsia" w:ascii="仿宋" w:hAnsi="仿宋" w:eastAsia="仿宋" w:cs="Helvetica"/>
          <w:color w:val="auto"/>
          <w:kern w:val="0"/>
          <w:sz w:val="32"/>
          <w:szCs w:val="32"/>
          <w:lang w:val="en-US" w:eastAsia="zh-CN"/>
        </w:rPr>
        <w:t>，</w:t>
      </w:r>
      <w:r>
        <w:rPr>
          <w:rFonts w:hint="eastAsia" w:ascii="仿宋" w:hAnsi="仿宋" w:eastAsia="仿宋" w:cs="Helvetica"/>
          <w:color w:val="auto"/>
          <w:kern w:val="0"/>
          <w:sz w:val="32"/>
          <w:szCs w:val="32"/>
          <w:u w:val="single"/>
          <w:lang w:val="en-US" w:eastAsia="zh-CN"/>
        </w:rPr>
        <w:t>指导采购方工作人员正确投放洗涤产品</w:t>
      </w:r>
      <w:r>
        <w:rPr>
          <w:rFonts w:hint="eastAsia" w:ascii="仿宋" w:hAnsi="仿宋" w:eastAsia="仿宋" w:cs="Helvetica"/>
          <w:color w:val="auto"/>
          <w:kern w:val="0"/>
          <w:sz w:val="32"/>
          <w:szCs w:val="32"/>
          <w:lang w:val="en-US" w:eastAsia="zh-CN"/>
        </w:rPr>
        <w:t>，试用后</w:t>
      </w:r>
      <w:r>
        <w:rPr>
          <w:rFonts w:hint="eastAsia" w:ascii="仿宋" w:hAnsi="仿宋" w:eastAsia="仿宋" w:cs="Helvetica"/>
          <w:color w:val="auto"/>
          <w:kern w:val="0"/>
          <w:sz w:val="32"/>
          <w:szCs w:val="32"/>
          <w:u w:val="single"/>
          <w:lang w:val="en-US" w:eastAsia="zh-CN"/>
        </w:rPr>
        <w:t>洗涤质量满足采购方需求方签订采购合同</w:t>
      </w:r>
      <w:r>
        <w:rPr>
          <w:rFonts w:hint="eastAsia" w:ascii="仿宋" w:hAnsi="仿宋" w:eastAsia="仿宋" w:cs="Helvetica"/>
          <w:color w:val="auto"/>
          <w:kern w:val="0"/>
          <w:sz w:val="32"/>
          <w:szCs w:val="32"/>
          <w:lang w:val="en-US" w:eastAsia="zh-CN"/>
        </w:rPr>
        <w:t>；若</w:t>
      </w:r>
      <w:r>
        <w:rPr>
          <w:rFonts w:hint="eastAsia" w:ascii="仿宋" w:hAnsi="仿宋" w:eastAsia="仿宋" w:cs="Helvetica"/>
          <w:color w:val="auto"/>
          <w:kern w:val="0"/>
          <w:sz w:val="32"/>
          <w:szCs w:val="32"/>
          <w:u w:val="single"/>
          <w:lang w:val="en-US" w:eastAsia="zh-CN"/>
        </w:rPr>
        <w:t>不能满足采购方洗涤要求则由评分第二顺位供应商提供服务，以此类推，直到试用合格为止。</w:t>
      </w:r>
    </w:p>
    <w:p w14:paraId="67579BFA">
      <w:pPr>
        <w:numPr>
          <w:ilvl w:val="0"/>
          <w:numId w:val="0"/>
        </w:numPr>
        <w:spacing w:line="560" w:lineRule="exact"/>
        <w:ind w:leftChars="0" w:firstLine="640" w:firstLineChars="200"/>
        <w:rPr>
          <w:rFonts w:hint="eastAsia" w:ascii="仿宋" w:hAnsi="仿宋" w:eastAsia="仿宋" w:cs="Helvetica"/>
          <w:color w:val="auto"/>
          <w:kern w:val="0"/>
          <w:sz w:val="32"/>
          <w:szCs w:val="32"/>
          <w:lang w:val="en-US" w:eastAsia="zh-CN"/>
        </w:rPr>
      </w:pPr>
      <w:r>
        <w:rPr>
          <w:rFonts w:hint="eastAsia" w:ascii="仿宋" w:hAnsi="仿宋" w:eastAsia="仿宋" w:cs="Helvetica"/>
          <w:color w:val="auto"/>
          <w:kern w:val="0"/>
          <w:sz w:val="32"/>
          <w:szCs w:val="32"/>
          <w:lang w:val="en-US" w:eastAsia="zh-CN"/>
        </w:rPr>
        <w:t>2.交货时间及地点：合同签订生效后根据甲方需求分批次供货，送货到甲方指定地点，验收合格交付使用，交货验收时须提供产品质检部门从同类产品中抽样检查合格的检测报告。</w:t>
      </w:r>
    </w:p>
    <w:p w14:paraId="23E35A0B">
      <w:pPr>
        <w:numPr>
          <w:ilvl w:val="0"/>
          <w:numId w:val="0"/>
        </w:numPr>
        <w:spacing w:line="560" w:lineRule="exact"/>
        <w:ind w:leftChars="0" w:firstLine="640" w:firstLineChars="200"/>
        <w:rPr>
          <w:rFonts w:hint="eastAsia" w:ascii="仿宋" w:hAnsi="仿宋" w:eastAsia="仿宋" w:cs="Helvetica"/>
          <w:color w:val="auto"/>
          <w:kern w:val="0"/>
          <w:sz w:val="32"/>
          <w:szCs w:val="32"/>
          <w:lang w:val="en-US" w:eastAsia="zh-CN"/>
        </w:rPr>
      </w:pPr>
      <w:r>
        <w:rPr>
          <w:rFonts w:hint="eastAsia" w:ascii="仿宋" w:hAnsi="仿宋" w:eastAsia="仿宋" w:cs="Helvetica"/>
          <w:color w:val="auto"/>
          <w:kern w:val="0"/>
          <w:sz w:val="32"/>
          <w:szCs w:val="32"/>
          <w:lang w:val="en-US" w:eastAsia="zh-CN"/>
        </w:rPr>
        <w:t>3.合同价款支付方式和条件：</w:t>
      </w:r>
    </w:p>
    <w:p w14:paraId="55B20EF0">
      <w:pPr>
        <w:numPr>
          <w:ilvl w:val="0"/>
          <w:numId w:val="0"/>
        </w:numPr>
        <w:spacing w:line="560" w:lineRule="exact"/>
        <w:ind w:leftChars="0" w:firstLine="640" w:firstLineChars="200"/>
        <w:rPr>
          <w:rFonts w:hint="eastAsia" w:ascii="仿宋" w:hAnsi="仿宋" w:eastAsia="仿宋" w:cs="Helvetica"/>
          <w:color w:val="auto"/>
          <w:kern w:val="0"/>
          <w:sz w:val="32"/>
          <w:szCs w:val="32"/>
          <w:lang w:val="en-US" w:eastAsia="zh-CN"/>
        </w:rPr>
      </w:pPr>
      <w:r>
        <w:rPr>
          <w:rFonts w:hint="eastAsia" w:ascii="仿宋" w:hAnsi="仿宋" w:eastAsia="仿宋" w:cs="Helvetica"/>
          <w:color w:val="auto"/>
          <w:kern w:val="0"/>
          <w:sz w:val="32"/>
          <w:szCs w:val="32"/>
          <w:lang w:val="en-US" w:eastAsia="zh-CN"/>
        </w:rPr>
        <w:t>（1）按实际供货的量，每三个月结算；直至付完全部合同金额；</w:t>
      </w:r>
    </w:p>
    <w:p w14:paraId="1FF64C04">
      <w:pPr>
        <w:numPr>
          <w:ilvl w:val="0"/>
          <w:numId w:val="0"/>
        </w:numPr>
        <w:spacing w:line="560" w:lineRule="exact"/>
        <w:ind w:leftChars="0" w:firstLine="640" w:firstLineChars="200"/>
        <w:rPr>
          <w:rFonts w:hint="eastAsia" w:ascii="仿宋" w:hAnsi="仿宋" w:eastAsia="仿宋" w:cs="Helvetica"/>
          <w:color w:val="auto"/>
          <w:kern w:val="0"/>
          <w:sz w:val="32"/>
          <w:szCs w:val="32"/>
          <w:lang w:val="en-US" w:eastAsia="zh-CN"/>
        </w:rPr>
      </w:pPr>
      <w:r>
        <w:rPr>
          <w:rFonts w:hint="eastAsia" w:ascii="仿宋" w:hAnsi="仿宋" w:eastAsia="仿宋" w:cs="Helvetica"/>
          <w:color w:val="auto"/>
          <w:kern w:val="0"/>
          <w:sz w:val="32"/>
          <w:szCs w:val="32"/>
          <w:lang w:val="en-US" w:eastAsia="zh-CN"/>
        </w:rPr>
        <w:t>（2）甲乙双方按实际供货量每三个月办理一次货款结算，经乙方书面申请后，甲乙双方审核金额确认无误后 60 日内支付乙方前三个月所供合格货物的结算货款；</w:t>
      </w:r>
    </w:p>
    <w:p w14:paraId="092781A5">
      <w:pPr>
        <w:numPr>
          <w:ilvl w:val="0"/>
          <w:numId w:val="0"/>
        </w:numPr>
        <w:spacing w:line="560" w:lineRule="exact"/>
        <w:ind w:leftChars="0" w:firstLine="640" w:firstLineChars="200"/>
        <w:rPr>
          <w:rFonts w:hint="eastAsia" w:ascii="仿宋" w:hAnsi="仿宋" w:eastAsia="仿宋" w:cs="Helvetica"/>
          <w:color w:val="auto"/>
          <w:kern w:val="0"/>
          <w:sz w:val="32"/>
          <w:szCs w:val="32"/>
          <w:lang w:val="en-US" w:eastAsia="zh-CN"/>
        </w:rPr>
      </w:pPr>
      <w:r>
        <w:rPr>
          <w:rFonts w:hint="eastAsia" w:ascii="仿宋" w:hAnsi="仿宋" w:eastAsia="仿宋" w:cs="Helvetica"/>
          <w:color w:val="auto"/>
          <w:kern w:val="0"/>
          <w:sz w:val="32"/>
          <w:szCs w:val="32"/>
          <w:lang w:val="en-US" w:eastAsia="zh-CN"/>
        </w:rPr>
        <w:t>（3）乙方在甲方支付货款前，应向甲方提供对已交货物产品的发票和有关单据，否则甲方可顺延付款且不承担任何责任，乙方应继续履行合同。</w:t>
      </w:r>
    </w:p>
    <w:p w14:paraId="043AC097">
      <w:pPr>
        <w:numPr>
          <w:ilvl w:val="0"/>
          <w:numId w:val="0"/>
        </w:numPr>
        <w:spacing w:line="560" w:lineRule="exact"/>
        <w:ind w:leftChars="0" w:firstLine="640" w:firstLineChars="200"/>
        <w:rPr>
          <w:rFonts w:hint="eastAsia" w:ascii="仿宋" w:hAnsi="仿宋" w:eastAsia="仿宋" w:cs="Helvetica"/>
          <w:color w:val="auto"/>
          <w:kern w:val="0"/>
          <w:sz w:val="32"/>
          <w:szCs w:val="32"/>
          <w:lang w:val="en-US" w:eastAsia="zh-CN"/>
        </w:rPr>
      </w:pPr>
      <w:r>
        <w:rPr>
          <w:rFonts w:hint="eastAsia" w:ascii="仿宋" w:hAnsi="仿宋" w:eastAsia="仿宋" w:cs="Helvetica"/>
          <w:color w:val="auto"/>
          <w:kern w:val="0"/>
          <w:sz w:val="32"/>
          <w:szCs w:val="32"/>
          <w:lang w:val="en-US" w:eastAsia="zh-CN"/>
        </w:rPr>
        <w:t>3.响应时间：质保期内接到采购人通知后，中标人应在 1 小时内进行响应，4小时内到达产品使用现场进行处理。所产生的费用全部由中标人承担。</w:t>
      </w:r>
    </w:p>
    <w:p w14:paraId="42F0B4E8">
      <w:pPr>
        <w:numPr>
          <w:ilvl w:val="0"/>
          <w:numId w:val="0"/>
        </w:numPr>
        <w:spacing w:line="560" w:lineRule="exact"/>
        <w:ind w:leftChars="0" w:firstLine="640" w:firstLineChars="200"/>
        <w:rPr>
          <w:rFonts w:hint="eastAsia" w:ascii="仿宋" w:hAnsi="仿宋" w:eastAsia="仿宋" w:cs="Helvetica"/>
          <w:color w:val="auto"/>
          <w:kern w:val="0"/>
          <w:sz w:val="32"/>
          <w:szCs w:val="32"/>
          <w:lang w:val="en-US" w:eastAsia="zh-CN"/>
        </w:rPr>
      </w:pPr>
      <w:r>
        <w:rPr>
          <w:rFonts w:hint="eastAsia" w:ascii="仿宋" w:hAnsi="仿宋" w:eastAsia="仿宋" w:cs="Helvetica"/>
          <w:color w:val="auto"/>
          <w:kern w:val="0"/>
          <w:sz w:val="32"/>
          <w:szCs w:val="32"/>
          <w:lang w:val="en-US" w:eastAsia="zh-CN"/>
        </w:rPr>
        <w:t>4.本项目所投产品必须是注册了商标的正规生产厂家生产的产品，不得以三无产品或仿冒产品进行投标和供货。各类产品必须包装完好，无破损、无遗漏、无变质，否则采购人有权拒绝使用或退货。</w:t>
      </w:r>
    </w:p>
    <w:p w14:paraId="5881F0E0">
      <w:pPr>
        <w:numPr>
          <w:ilvl w:val="0"/>
          <w:numId w:val="0"/>
        </w:numPr>
        <w:spacing w:line="560" w:lineRule="exact"/>
        <w:ind w:leftChars="0" w:firstLine="640" w:firstLineChars="200"/>
        <w:rPr>
          <w:rFonts w:hint="eastAsia" w:ascii="仿宋" w:hAnsi="仿宋" w:eastAsia="仿宋" w:cs="Helvetica"/>
          <w:color w:val="auto"/>
          <w:kern w:val="0"/>
          <w:sz w:val="32"/>
          <w:szCs w:val="32"/>
          <w:lang w:val="en-US" w:eastAsia="zh-CN"/>
        </w:rPr>
      </w:pPr>
      <w:r>
        <w:rPr>
          <w:rFonts w:hint="eastAsia" w:ascii="仿宋" w:hAnsi="仿宋" w:eastAsia="仿宋" w:cs="Helvetica"/>
          <w:color w:val="auto"/>
          <w:kern w:val="0"/>
          <w:sz w:val="32"/>
          <w:szCs w:val="32"/>
          <w:lang w:val="en-US" w:eastAsia="zh-CN"/>
        </w:rPr>
        <w:t>5.本项目采购人将不定期（每半年不少于1次）对中标人供应的洗涤类产品关键指标和洗涤后的布草委托具有法定检测资质的检测机构进行检测，检测费用由中标人支付。</w:t>
      </w:r>
    </w:p>
    <w:p w14:paraId="7EE09571">
      <w:pPr>
        <w:numPr>
          <w:ilvl w:val="0"/>
          <w:numId w:val="0"/>
        </w:numPr>
        <w:spacing w:line="560" w:lineRule="exact"/>
        <w:ind w:leftChars="0" w:firstLine="640" w:firstLineChars="200"/>
        <w:rPr>
          <w:rFonts w:hint="eastAsia" w:ascii="仿宋" w:hAnsi="仿宋" w:eastAsia="仿宋" w:cs="Helvetica"/>
          <w:color w:val="auto"/>
          <w:kern w:val="0"/>
          <w:sz w:val="32"/>
          <w:szCs w:val="32"/>
          <w:lang w:val="en-US" w:eastAsia="zh-CN"/>
        </w:rPr>
      </w:pPr>
      <w:r>
        <w:rPr>
          <w:rFonts w:hint="eastAsia" w:ascii="仿宋" w:hAnsi="仿宋" w:eastAsia="仿宋" w:cs="Helvetica"/>
          <w:color w:val="auto"/>
          <w:kern w:val="0"/>
          <w:sz w:val="32"/>
          <w:szCs w:val="32"/>
          <w:lang w:val="en-US" w:eastAsia="zh-CN"/>
        </w:rPr>
        <w:t>6.洗涤剂按规定程序使用后，若清洁度（参照羽绒清洁度检测标准（FZ/T81002）不合格，且色污渍(参考 DB51/1768.2)明显存在，采购人将按上一个月使用洗涤剂总额对中标人处以3%的扣款。</w:t>
      </w:r>
    </w:p>
    <w:p w14:paraId="7A0AA8B8">
      <w:pPr>
        <w:numPr>
          <w:ilvl w:val="0"/>
          <w:numId w:val="0"/>
        </w:numPr>
        <w:spacing w:line="560" w:lineRule="exact"/>
        <w:ind w:leftChars="0" w:firstLine="640" w:firstLineChars="200"/>
        <w:rPr>
          <w:rFonts w:hint="eastAsia" w:ascii="仿宋" w:hAnsi="仿宋" w:eastAsia="仿宋" w:cs="Helvetica"/>
          <w:color w:val="auto"/>
          <w:kern w:val="0"/>
          <w:sz w:val="32"/>
          <w:szCs w:val="32"/>
          <w:lang w:val="en-US" w:eastAsia="zh-CN"/>
        </w:rPr>
      </w:pPr>
      <w:r>
        <w:rPr>
          <w:rFonts w:hint="eastAsia" w:ascii="仿宋" w:hAnsi="仿宋" w:eastAsia="仿宋" w:cs="Helvetica"/>
          <w:color w:val="auto"/>
          <w:kern w:val="0"/>
          <w:sz w:val="32"/>
          <w:szCs w:val="32"/>
          <w:lang w:val="en-US" w:eastAsia="zh-CN"/>
        </w:rPr>
        <w:t>7. 供货产品 pH 值指标应优于投标时的数据，若日常供应的洗涤类产品 pH 值高于投标文件（或投标样本）pH 值 0.5，则采购人将按上一个月使用洗涤剂总额对中标人处以 2%的扣款。</w:t>
      </w:r>
    </w:p>
    <w:p w14:paraId="44419B4E">
      <w:pPr>
        <w:numPr>
          <w:ilvl w:val="0"/>
          <w:numId w:val="0"/>
        </w:numPr>
        <w:spacing w:line="560" w:lineRule="exact"/>
        <w:ind w:leftChars="0" w:firstLine="640" w:firstLineChars="200"/>
        <w:rPr>
          <w:rFonts w:hint="eastAsia" w:ascii="仿宋" w:hAnsi="仿宋" w:eastAsia="仿宋" w:cs="Helvetica"/>
          <w:color w:val="auto"/>
          <w:kern w:val="0"/>
          <w:sz w:val="32"/>
          <w:szCs w:val="32"/>
          <w:lang w:val="en-US" w:eastAsia="zh-CN"/>
        </w:rPr>
      </w:pPr>
      <w:r>
        <w:rPr>
          <w:rFonts w:hint="eastAsia" w:ascii="仿宋" w:hAnsi="仿宋" w:eastAsia="仿宋" w:cs="Helvetica"/>
          <w:color w:val="auto"/>
          <w:kern w:val="0"/>
          <w:sz w:val="32"/>
          <w:szCs w:val="32"/>
          <w:lang w:val="en-US" w:eastAsia="zh-CN"/>
        </w:rPr>
        <w:t>8.洗涤剂按规定程序使用后，若布草损伤明显，采购人及时告之投标人，投标人须在 2 日内对洗涤剂进行整改，达到使用要求。若整改无效或未达到要求，采购人将按上一个月使用洗涤剂总额处以 5%的扣款。</w:t>
      </w:r>
    </w:p>
    <w:p w14:paraId="4D97B306">
      <w:pPr>
        <w:numPr>
          <w:ilvl w:val="0"/>
          <w:numId w:val="0"/>
        </w:numPr>
        <w:spacing w:line="560" w:lineRule="exact"/>
        <w:ind w:leftChars="0" w:firstLine="640" w:firstLineChars="200"/>
        <w:rPr>
          <w:rFonts w:hint="eastAsia" w:ascii="仿宋" w:hAnsi="仿宋" w:eastAsia="仿宋" w:cs="Helvetica"/>
          <w:color w:val="auto"/>
          <w:kern w:val="0"/>
          <w:sz w:val="32"/>
          <w:szCs w:val="32"/>
          <w:lang w:val="en-US" w:eastAsia="zh-CN"/>
        </w:rPr>
      </w:pPr>
      <w:r>
        <w:rPr>
          <w:rFonts w:hint="eastAsia" w:ascii="仿宋" w:hAnsi="仿宋" w:eastAsia="仿宋" w:cs="Helvetica"/>
          <w:color w:val="auto"/>
          <w:kern w:val="0"/>
          <w:sz w:val="32"/>
          <w:szCs w:val="32"/>
          <w:lang w:val="en-US" w:eastAsia="zh-CN"/>
        </w:rPr>
        <w:t>9.若清洁度、色污渍、布草损伤问题多次整改后仍然不合格或情况严重，采购人将按上一个月使用洗涤剂总额处以 1.质保期：产品质保期不低于12个月。</w:t>
      </w:r>
    </w:p>
    <w:p w14:paraId="2BA1D02A">
      <w:pPr>
        <w:numPr>
          <w:ilvl w:val="0"/>
          <w:numId w:val="0"/>
        </w:numPr>
        <w:spacing w:line="560" w:lineRule="exact"/>
        <w:ind w:leftChars="0" w:firstLine="640" w:firstLineChars="200"/>
        <w:rPr>
          <w:rFonts w:hint="eastAsia" w:ascii="仿宋" w:hAnsi="仿宋" w:eastAsia="仿宋" w:cs="Helvetica"/>
          <w:color w:val="auto"/>
          <w:kern w:val="0"/>
          <w:sz w:val="32"/>
          <w:szCs w:val="32"/>
          <w:lang w:val="en-US" w:eastAsia="zh-CN"/>
        </w:rPr>
      </w:pPr>
      <w:r>
        <w:rPr>
          <w:rFonts w:hint="eastAsia" w:ascii="仿宋" w:hAnsi="仿宋" w:eastAsia="仿宋" w:cs="Helvetica"/>
          <w:color w:val="auto"/>
          <w:kern w:val="0"/>
          <w:sz w:val="32"/>
          <w:szCs w:val="32"/>
          <w:lang w:val="en-US" w:eastAsia="zh-CN"/>
        </w:rPr>
        <w:t>10.中标人负责对采购人洗涤剂使用的技术培训，对洗涤工序及质量进行监督，保证洗涤质量；为采购人控制洗涤剂成本，采购人按规范使用中标人洗涤剂，在布草洗涤质量合格的前提下，尽可能地降低洗涤剂使用成本。</w:t>
      </w:r>
    </w:p>
    <w:p w14:paraId="2FF55417">
      <w:pPr>
        <w:numPr>
          <w:ilvl w:val="0"/>
          <w:numId w:val="0"/>
        </w:numPr>
        <w:spacing w:line="560" w:lineRule="exact"/>
        <w:ind w:leftChars="0" w:firstLine="640" w:firstLineChars="200"/>
        <w:rPr>
          <w:rFonts w:hint="eastAsia" w:ascii="仿宋" w:hAnsi="仿宋" w:eastAsia="仿宋" w:cs="Helvetica"/>
          <w:color w:val="auto"/>
          <w:kern w:val="0"/>
          <w:sz w:val="32"/>
          <w:szCs w:val="32"/>
          <w:lang w:val="en-US" w:eastAsia="zh-CN"/>
        </w:rPr>
      </w:pPr>
      <w:r>
        <w:rPr>
          <w:rFonts w:hint="eastAsia" w:ascii="仿宋" w:hAnsi="仿宋" w:eastAsia="仿宋" w:cs="Helvetica"/>
          <w:color w:val="auto"/>
          <w:kern w:val="0"/>
          <w:sz w:val="32"/>
          <w:szCs w:val="32"/>
          <w:lang w:val="en-US" w:eastAsia="zh-CN"/>
        </w:rPr>
        <w:t>11.产品在送达指定地点的有效保质时间不低于产品保质期的一半（以生产日期起计算）。</w:t>
      </w:r>
    </w:p>
    <w:p w14:paraId="2C0B9624">
      <w:pPr>
        <w:numPr>
          <w:ilvl w:val="0"/>
          <w:numId w:val="0"/>
        </w:numPr>
        <w:spacing w:line="560" w:lineRule="exact"/>
        <w:ind w:leftChars="0" w:firstLine="640" w:firstLineChars="200"/>
        <w:rPr>
          <w:rFonts w:hint="eastAsia" w:ascii="仿宋" w:hAnsi="仿宋" w:eastAsia="仿宋" w:cs="Helvetica"/>
          <w:color w:val="auto"/>
          <w:kern w:val="0"/>
          <w:sz w:val="32"/>
          <w:szCs w:val="32"/>
          <w:lang w:val="en-US" w:eastAsia="zh-CN"/>
        </w:rPr>
      </w:pPr>
      <w:r>
        <w:rPr>
          <w:rFonts w:hint="eastAsia" w:ascii="仿宋" w:hAnsi="仿宋" w:eastAsia="仿宋" w:cs="Helvetica"/>
          <w:color w:val="auto"/>
          <w:kern w:val="0"/>
          <w:sz w:val="32"/>
          <w:szCs w:val="32"/>
          <w:lang w:val="en-US" w:eastAsia="zh-CN"/>
        </w:rPr>
        <w:t>12.质保期≥1 年，质保期内产品出现任何非人为造成的质量问题，中标人负责免费更换。</w:t>
      </w:r>
    </w:p>
    <w:p w14:paraId="75D5C6D2">
      <w:pPr>
        <w:numPr>
          <w:ilvl w:val="0"/>
          <w:numId w:val="0"/>
        </w:numPr>
        <w:spacing w:line="560" w:lineRule="exact"/>
        <w:ind w:leftChars="0" w:firstLine="640" w:firstLineChars="200"/>
        <w:rPr>
          <w:rFonts w:hint="eastAsia" w:ascii="仿宋" w:hAnsi="仿宋" w:eastAsia="仿宋" w:cs="Helvetica"/>
          <w:color w:val="auto"/>
          <w:kern w:val="0"/>
          <w:sz w:val="32"/>
          <w:szCs w:val="32"/>
          <w:lang w:val="en-US" w:eastAsia="zh-CN"/>
        </w:rPr>
      </w:pPr>
      <w:r>
        <w:rPr>
          <w:rFonts w:hint="eastAsia" w:ascii="仿宋" w:hAnsi="仿宋" w:eastAsia="仿宋" w:cs="Helvetica"/>
          <w:color w:val="auto"/>
          <w:kern w:val="0"/>
          <w:sz w:val="32"/>
          <w:szCs w:val="32"/>
          <w:lang w:val="en-US" w:eastAsia="zh-CN"/>
        </w:rPr>
        <w:t>13. 验收标准：按国家有关规定以及招标文件的质量要求和技术指标、投标文件及承诺与合同约定标准进行验收；采购人及投标人双方如对质量要求和技术指标的约定标准有相互抵触或异议的事项，由采购人在招标文件、投标文件中按质量要求和技术指标比较优胜的原则确定该项的约定标准进行验收。</w:t>
      </w:r>
    </w:p>
    <w:p w14:paraId="34AD8259">
      <w:pPr>
        <w:numPr>
          <w:ilvl w:val="0"/>
          <w:numId w:val="0"/>
        </w:numPr>
        <w:spacing w:line="560" w:lineRule="exact"/>
        <w:ind w:leftChars="0" w:firstLine="640" w:firstLineChars="200"/>
        <w:rPr>
          <w:rFonts w:hint="eastAsia" w:ascii="仿宋" w:hAnsi="仿宋" w:eastAsia="仿宋" w:cs="Helvetica"/>
          <w:color w:val="auto"/>
          <w:kern w:val="0"/>
          <w:sz w:val="32"/>
          <w:szCs w:val="32"/>
          <w:lang w:val="en-US" w:eastAsia="zh-CN"/>
        </w:rPr>
      </w:pPr>
      <w:r>
        <w:rPr>
          <w:rFonts w:hint="eastAsia" w:ascii="仿宋" w:hAnsi="仿宋" w:eastAsia="仿宋" w:cs="Helvetica"/>
          <w:color w:val="auto"/>
          <w:kern w:val="0"/>
          <w:sz w:val="32"/>
          <w:szCs w:val="32"/>
          <w:lang w:val="en-US" w:eastAsia="zh-CN"/>
        </w:rPr>
        <w:t>14. 验收时如发现所交付的货物有短装、次品、损坏或其它不符合标准及合同规定之情形者，采购人应做出详尽的现场记录，或由采购人及投标人双方签署备忘录，此现场记录或备忘录可用作补充、缺失和更换货物的有效证据，由此产生的时间延误与有关费用由投标人承担，验收期限相应顺延。</w:t>
      </w:r>
    </w:p>
    <w:p w14:paraId="7D384DE9">
      <w:pPr>
        <w:numPr>
          <w:ilvl w:val="0"/>
          <w:numId w:val="0"/>
        </w:numPr>
        <w:spacing w:line="360" w:lineRule="auto"/>
        <w:ind w:firstLine="640" w:firstLineChars="200"/>
        <w:rPr>
          <w:rFonts w:hint="eastAsia" w:ascii="仿宋" w:hAnsi="仿宋" w:eastAsia="仿宋" w:cs="Helvetica"/>
          <w:color w:val="auto"/>
          <w:kern w:val="0"/>
          <w:sz w:val="32"/>
          <w:szCs w:val="32"/>
          <w:lang w:val="en-US" w:eastAsia="zh-CN"/>
        </w:rPr>
      </w:pPr>
      <w:r>
        <w:rPr>
          <w:rFonts w:hint="eastAsia" w:ascii="仿宋" w:hAnsi="仿宋" w:eastAsia="仿宋" w:cs="Helvetica"/>
          <w:color w:val="auto"/>
          <w:kern w:val="0"/>
          <w:sz w:val="32"/>
          <w:szCs w:val="32"/>
          <w:lang w:val="en-US" w:eastAsia="zh-CN"/>
        </w:rPr>
        <w:t>15. 投标人须承诺所提供的检测报告等佐证材料均真实、有效，采购人有权在签订合同前对投标人所提供的佐证材料进行核查，若发现投标人提供的佐证材料存在弄虚作假的情形，将视为投标人虚假响应，并依法上报财政部门，由此造成的后果由投标人自行承担。（提供承诺函原件加盖投标人公章）</w:t>
      </w:r>
    </w:p>
    <w:p w14:paraId="0D2A2903">
      <w:pPr>
        <w:numPr>
          <w:ilvl w:val="0"/>
          <w:numId w:val="0"/>
        </w:numPr>
        <w:spacing w:line="360" w:lineRule="auto"/>
        <w:ind w:firstLine="640" w:firstLineChars="200"/>
        <w:rPr>
          <w:rFonts w:hint="eastAsia" w:ascii="仿宋" w:hAnsi="仿宋" w:eastAsia="仿宋" w:cs="Helvetica"/>
          <w:color w:val="auto"/>
          <w:kern w:val="0"/>
          <w:sz w:val="32"/>
          <w:szCs w:val="32"/>
          <w:lang w:val="en-US" w:eastAsia="zh-CN"/>
        </w:rPr>
      </w:pPr>
      <w:r>
        <w:rPr>
          <w:rFonts w:hint="eastAsia" w:ascii="仿宋" w:hAnsi="仿宋" w:eastAsia="仿宋" w:cs="Helvetica"/>
          <w:color w:val="auto"/>
          <w:kern w:val="0"/>
          <w:sz w:val="32"/>
          <w:szCs w:val="32"/>
          <w:lang w:val="en-US" w:eastAsia="zh-CN"/>
        </w:rPr>
        <w:t>16.供货数量为预估使用量，合同签订后以达到合同截止日期或供货数量达到本项目预估使用量，满足其中一项条件本合同自动终止。</w:t>
      </w:r>
    </w:p>
    <w:p w14:paraId="102DC8F1">
      <w:pPr>
        <w:numPr>
          <w:ilvl w:val="0"/>
          <w:numId w:val="0"/>
        </w:numPr>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Helvetica"/>
          <w:color w:val="auto"/>
          <w:kern w:val="0"/>
          <w:sz w:val="32"/>
          <w:szCs w:val="32"/>
          <w:lang w:val="en-US" w:eastAsia="zh-CN"/>
        </w:rPr>
        <w:t>17.本项目不接受转包或联合体投标。</w:t>
      </w:r>
    </w:p>
    <w:p w14:paraId="341BBA68">
      <w:pPr>
        <w:rPr>
          <w:rFonts w:hint="eastAsia" w:ascii="黑体" w:hAnsi="黑体" w:eastAsia="黑体" w:cs="黑体"/>
          <w:color w:val="auto"/>
          <w:lang w:eastAsia="zh-CN"/>
        </w:rPr>
      </w:pPr>
    </w:p>
    <w:p w14:paraId="56A884EA">
      <w:pPr>
        <w:rPr>
          <w:rFonts w:hint="eastAsia" w:ascii="黑体" w:hAnsi="黑体" w:eastAsia="黑体" w:cs="黑体"/>
          <w:color w:val="auto"/>
          <w:lang w:eastAsia="zh-CN"/>
        </w:rPr>
      </w:pPr>
    </w:p>
    <w:sectPr>
      <w:headerReference r:id="rId4" w:type="first"/>
      <w:footerReference r:id="rId6" w:type="first"/>
      <w:headerReference r:id="rId3" w:type="default"/>
      <w:footerReference r:id="rId5" w:type="default"/>
      <w:pgSz w:w="11906" w:h="16838"/>
      <w:pgMar w:top="1134" w:right="1134" w:bottom="1077" w:left="1361" w:header="680" w:footer="680"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941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13AE3">
                          <w:pPr>
                            <w:pStyle w:val="1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B13AE3">
                    <w:pPr>
                      <w:pStyle w:val="1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C2D4">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75A2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C75A2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71F18">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FA6C">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6A133"/>
    <w:multiLevelType w:val="singleLevel"/>
    <w:tmpl w:val="8316A133"/>
    <w:lvl w:ilvl="0" w:tentative="0">
      <w:start w:val="1"/>
      <w:numFmt w:val="decimal"/>
      <w:lvlText w:val="%1."/>
      <w:lvlJc w:val="left"/>
      <w:pPr>
        <w:tabs>
          <w:tab w:val="left" w:pos="312"/>
        </w:tabs>
      </w:pPr>
    </w:lvl>
  </w:abstractNum>
  <w:abstractNum w:abstractNumId="1">
    <w:nsid w:val="A4953673"/>
    <w:multiLevelType w:val="singleLevel"/>
    <w:tmpl w:val="A4953673"/>
    <w:lvl w:ilvl="0" w:tentative="0">
      <w:start w:val="1"/>
      <w:numFmt w:val="decimal"/>
      <w:lvlText w:val="%1."/>
      <w:lvlJc w:val="left"/>
      <w:pPr>
        <w:tabs>
          <w:tab w:val="left" w:pos="312"/>
        </w:tabs>
      </w:pPr>
    </w:lvl>
  </w:abstractNum>
  <w:abstractNum w:abstractNumId="2">
    <w:nsid w:val="C45F5704"/>
    <w:multiLevelType w:val="singleLevel"/>
    <w:tmpl w:val="C45F5704"/>
    <w:lvl w:ilvl="0" w:tentative="0">
      <w:start w:val="1"/>
      <w:numFmt w:val="chineseCounting"/>
      <w:suff w:val="nothing"/>
      <w:lvlText w:val="%1、"/>
      <w:lvlJc w:val="left"/>
      <w:rPr>
        <w:rFonts w:hint="eastAsia"/>
      </w:rPr>
    </w:lvl>
  </w:abstractNum>
  <w:abstractNum w:abstractNumId="3">
    <w:nsid w:val="FE91F05D"/>
    <w:multiLevelType w:val="singleLevel"/>
    <w:tmpl w:val="FE91F05D"/>
    <w:lvl w:ilvl="0" w:tentative="0">
      <w:start w:val="1"/>
      <w:numFmt w:val="decimal"/>
      <w:lvlText w:val="%1."/>
      <w:lvlJc w:val="left"/>
      <w:pPr>
        <w:tabs>
          <w:tab w:val="left" w:pos="312"/>
        </w:tabs>
      </w:pPr>
    </w:lvl>
  </w:abstractNum>
  <w:abstractNum w:abstractNumId="4">
    <w:nsid w:val="158B2E0A"/>
    <w:multiLevelType w:val="singleLevel"/>
    <w:tmpl w:val="158B2E0A"/>
    <w:lvl w:ilvl="0" w:tentative="0">
      <w:start w:val="1"/>
      <w:numFmt w:val="decimal"/>
      <w:lvlText w:val="%1."/>
      <w:lvlJc w:val="left"/>
      <w:pPr>
        <w:tabs>
          <w:tab w:val="left" w:pos="312"/>
        </w:tabs>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99C0C65"/>
    <w:rsid w:val="09CC3AEA"/>
    <w:rsid w:val="09CF2980"/>
    <w:rsid w:val="0A5766D2"/>
    <w:rsid w:val="0B481B96"/>
    <w:rsid w:val="0B5B6EA7"/>
    <w:rsid w:val="0B9B184D"/>
    <w:rsid w:val="0BBF2600"/>
    <w:rsid w:val="0C3E61B9"/>
    <w:rsid w:val="0DA12370"/>
    <w:rsid w:val="0DBF0EC4"/>
    <w:rsid w:val="0DE40DBE"/>
    <w:rsid w:val="0E672DB3"/>
    <w:rsid w:val="0E904937"/>
    <w:rsid w:val="0E9E1831"/>
    <w:rsid w:val="0EAB0093"/>
    <w:rsid w:val="0F225786"/>
    <w:rsid w:val="0FB83603"/>
    <w:rsid w:val="0FCE2C6B"/>
    <w:rsid w:val="107F49DA"/>
    <w:rsid w:val="11103FB2"/>
    <w:rsid w:val="11106DD4"/>
    <w:rsid w:val="113065C7"/>
    <w:rsid w:val="11551C0D"/>
    <w:rsid w:val="11630C29"/>
    <w:rsid w:val="12374305"/>
    <w:rsid w:val="12555A81"/>
    <w:rsid w:val="12AB3D92"/>
    <w:rsid w:val="132D67B3"/>
    <w:rsid w:val="13320F8E"/>
    <w:rsid w:val="13E72023"/>
    <w:rsid w:val="159705C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9C0935"/>
    <w:rsid w:val="219C0C5F"/>
    <w:rsid w:val="223E3923"/>
    <w:rsid w:val="22CD72A0"/>
    <w:rsid w:val="22DC6C27"/>
    <w:rsid w:val="230709BE"/>
    <w:rsid w:val="2333299E"/>
    <w:rsid w:val="23B92E0F"/>
    <w:rsid w:val="245C589E"/>
    <w:rsid w:val="24640781"/>
    <w:rsid w:val="24972E1D"/>
    <w:rsid w:val="2575459C"/>
    <w:rsid w:val="258F1C50"/>
    <w:rsid w:val="260C2C13"/>
    <w:rsid w:val="26DE5391"/>
    <w:rsid w:val="26F92D9C"/>
    <w:rsid w:val="27727EF2"/>
    <w:rsid w:val="27E167C8"/>
    <w:rsid w:val="27E8188C"/>
    <w:rsid w:val="27FC6D6D"/>
    <w:rsid w:val="280F7F64"/>
    <w:rsid w:val="286E79EF"/>
    <w:rsid w:val="295D2E54"/>
    <w:rsid w:val="2967011C"/>
    <w:rsid w:val="29E733A5"/>
    <w:rsid w:val="29EC6ACA"/>
    <w:rsid w:val="2A571F3F"/>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577691"/>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5F0685"/>
    <w:rsid w:val="37AF0C3F"/>
    <w:rsid w:val="381338B3"/>
    <w:rsid w:val="387820A1"/>
    <w:rsid w:val="388A7983"/>
    <w:rsid w:val="391D2725"/>
    <w:rsid w:val="39241426"/>
    <w:rsid w:val="3A0A5821"/>
    <w:rsid w:val="3ADC539A"/>
    <w:rsid w:val="3AE30FAC"/>
    <w:rsid w:val="3B3A67B9"/>
    <w:rsid w:val="3B572D45"/>
    <w:rsid w:val="3B65061B"/>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574906"/>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A92068D"/>
    <w:rsid w:val="4B21070C"/>
    <w:rsid w:val="4C4579F1"/>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446604D"/>
    <w:rsid w:val="547E1AE0"/>
    <w:rsid w:val="54F554AC"/>
    <w:rsid w:val="551A0D5D"/>
    <w:rsid w:val="55BA569F"/>
    <w:rsid w:val="55EE4C06"/>
    <w:rsid w:val="561A148B"/>
    <w:rsid w:val="565B213D"/>
    <w:rsid w:val="56773B8D"/>
    <w:rsid w:val="56D444B4"/>
    <w:rsid w:val="572D0183"/>
    <w:rsid w:val="57567F4A"/>
    <w:rsid w:val="57667B7B"/>
    <w:rsid w:val="578D66D2"/>
    <w:rsid w:val="580A2903"/>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55E89"/>
    <w:rsid w:val="5CC74DB0"/>
    <w:rsid w:val="5DA41796"/>
    <w:rsid w:val="5DC167D7"/>
    <w:rsid w:val="5F0E08C6"/>
    <w:rsid w:val="5F5075CA"/>
    <w:rsid w:val="5F7007A2"/>
    <w:rsid w:val="5F85487D"/>
    <w:rsid w:val="5FB650D9"/>
    <w:rsid w:val="6096215E"/>
    <w:rsid w:val="626070DF"/>
    <w:rsid w:val="62B86D17"/>
    <w:rsid w:val="62C824CA"/>
    <w:rsid w:val="635F68CB"/>
    <w:rsid w:val="64177A6E"/>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CF4DB4"/>
    <w:rsid w:val="69F16575"/>
    <w:rsid w:val="69FE6269"/>
    <w:rsid w:val="6B110ED0"/>
    <w:rsid w:val="6B3D74AC"/>
    <w:rsid w:val="6BF5199F"/>
    <w:rsid w:val="6C81461E"/>
    <w:rsid w:val="6CE610BF"/>
    <w:rsid w:val="6CED312F"/>
    <w:rsid w:val="6CF2654E"/>
    <w:rsid w:val="6D1916FD"/>
    <w:rsid w:val="6D226C43"/>
    <w:rsid w:val="6D535020"/>
    <w:rsid w:val="6DCF5925"/>
    <w:rsid w:val="6E383ABA"/>
    <w:rsid w:val="6E8B493F"/>
    <w:rsid w:val="6EA3545A"/>
    <w:rsid w:val="6F9F7F7D"/>
    <w:rsid w:val="719A4F83"/>
    <w:rsid w:val="71DE50A5"/>
    <w:rsid w:val="722B548E"/>
    <w:rsid w:val="722E4AEA"/>
    <w:rsid w:val="73683978"/>
    <w:rsid w:val="73F43F5E"/>
    <w:rsid w:val="7438150C"/>
    <w:rsid w:val="746F037C"/>
    <w:rsid w:val="74802750"/>
    <w:rsid w:val="74D379E1"/>
    <w:rsid w:val="74F82EAA"/>
    <w:rsid w:val="75457DB7"/>
    <w:rsid w:val="7563067A"/>
    <w:rsid w:val="75E55D62"/>
    <w:rsid w:val="76466533"/>
    <w:rsid w:val="77F97E1C"/>
    <w:rsid w:val="785111E8"/>
    <w:rsid w:val="78E831F4"/>
    <w:rsid w:val="79AC141B"/>
    <w:rsid w:val="79B51E35"/>
    <w:rsid w:val="79EA27D4"/>
    <w:rsid w:val="7AE23540"/>
    <w:rsid w:val="7B533F57"/>
    <w:rsid w:val="7C29457B"/>
    <w:rsid w:val="7CE9423F"/>
    <w:rsid w:val="7D9A1A1C"/>
    <w:rsid w:val="7E163DF2"/>
    <w:rsid w:val="7E1D587C"/>
    <w:rsid w:val="7E1E62DD"/>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2"/>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15</Pages>
  <Words>7201</Words>
  <Characters>7596</Characters>
  <Lines>0</Lines>
  <Paragraphs>0</Paragraphs>
  <TotalTime>0</TotalTime>
  <ScaleCrop>false</ScaleCrop>
  <LinksUpToDate>false</LinksUpToDate>
  <CharactersWithSpaces>8112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D</cp:lastModifiedBy>
  <cp:lastPrinted>2019-09-23T08:20:00Z</cp:lastPrinted>
  <dcterms:modified xsi:type="dcterms:W3CDTF">2025-03-25T01:53:40Z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C05AC66741D34244BB6A4484CA91A2FC_13</vt:lpwstr>
  </property>
  <property fmtid="{D5CDD505-2E9C-101B-9397-08002B2CF9AE}" pid="4" name="KSOTemplateDocerSaveRecord">
    <vt:lpwstr>eyJoZGlkIjoiYjJmZmFmMGFkNTkxMTc3Y2Q4ODdmNWVhNTFmYjU5MjciLCJ1c2VySWQiOiIxMjE4MTQ0Nzk4In0=</vt:lpwstr>
  </property>
</Properties>
</file>