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50614">
      <w:pPr>
        <w:numPr>
          <w:ilvl w:val="0"/>
          <w:numId w:val="0"/>
        </w:numPr>
        <w:jc w:val="center"/>
        <w:rPr>
          <w:rFonts w:hint="eastAsia" w:ascii="黑体" w:hAnsi="黑体" w:eastAsia="黑体" w:cs="黑体"/>
          <w:color w:val="auto"/>
          <w:sz w:val="36"/>
          <w:szCs w:val="36"/>
          <w:lang w:eastAsia="zh-CN"/>
        </w:rPr>
      </w:pPr>
      <w:r>
        <w:rPr>
          <w:rFonts w:hint="eastAsia" w:ascii="黑体" w:hAnsi="黑体" w:eastAsia="黑体" w:cs="黑体"/>
          <w:color w:val="auto"/>
          <w:kern w:val="2"/>
          <w:sz w:val="36"/>
          <w:szCs w:val="36"/>
          <w:lang w:val="en-US" w:eastAsia="zh-CN" w:bidi="ar-SA"/>
        </w:rPr>
        <w:t>第一章</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lang w:eastAsia="zh-CN"/>
        </w:rPr>
        <w:t>乐山市五通桥区人民医院</w:t>
      </w:r>
    </w:p>
    <w:p w14:paraId="4FEA2787">
      <w:pPr>
        <w:numPr>
          <w:ilvl w:val="0"/>
          <w:numId w:val="0"/>
        </w:numPr>
        <w:jc w:val="center"/>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院内</w:t>
      </w:r>
      <w:r>
        <w:rPr>
          <w:rFonts w:hint="eastAsia" w:ascii="黑体" w:hAnsi="黑体" w:eastAsia="黑体" w:cs="黑体"/>
          <w:color w:val="auto"/>
          <w:sz w:val="36"/>
          <w:szCs w:val="36"/>
          <w:lang w:val="en-US" w:eastAsia="zh-CN"/>
        </w:rPr>
        <w:t>采购</w:t>
      </w:r>
      <w:r>
        <w:rPr>
          <w:rFonts w:hint="eastAsia" w:ascii="黑体" w:hAnsi="黑体" w:eastAsia="黑体" w:cs="黑体"/>
          <w:color w:val="auto"/>
          <w:sz w:val="36"/>
          <w:szCs w:val="36"/>
          <w:lang w:eastAsia="zh-CN"/>
        </w:rPr>
        <w:t>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auto"/>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采购项目名称：输液器配送服务</w:t>
      </w:r>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eastAsia="zh-CN"/>
        </w:rPr>
        <w:t>项目采购编号：</w:t>
      </w:r>
      <w:r>
        <w:rPr>
          <w:rFonts w:hint="eastAsia" w:ascii="仿宋" w:hAnsi="仿宋" w:eastAsia="仿宋" w:cs="仿宋"/>
          <w:color w:val="auto"/>
          <w:kern w:val="0"/>
          <w:sz w:val="32"/>
          <w:szCs w:val="32"/>
          <w:lang w:val="en-US" w:eastAsia="zh-CN"/>
        </w:rPr>
        <w:t xml:space="preserve">YNCG2025002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采购项目内容（详细要求请看附件）：</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三</w:t>
      </w:r>
      <w:r>
        <w:rPr>
          <w:rFonts w:hint="eastAsia" w:ascii="仿宋" w:hAnsi="仿宋" w:eastAsia="仿宋" w:cs="仿宋"/>
          <w:color w:val="auto"/>
          <w:kern w:val="0"/>
          <w:sz w:val="32"/>
          <w:szCs w:val="32"/>
          <w:lang w:eastAsia="zh-CN"/>
        </w:rPr>
        <w:t>、供应商参加本次采购活动</w:t>
      </w:r>
      <w:r>
        <w:rPr>
          <w:rFonts w:hint="eastAsia" w:ascii="仿宋" w:hAnsi="仿宋" w:eastAsia="仿宋" w:cs="仿宋"/>
          <w:color w:val="auto"/>
          <w:kern w:val="0"/>
          <w:sz w:val="32"/>
          <w:szCs w:val="32"/>
          <w:lang w:val="en-US" w:eastAsia="zh-CN"/>
        </w:rPr>
        <w:t>需要</w:t>
      </w:r>
      <w:r>
        <w:rPr>
          <w:rFonts w:hint="eastAsia" w:ascii="仿宋" w:hAnsi="仿宋" w:eastAsia="仿宋" w:cs="仿宋"/>
          <w:color w:val="auto"/>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4.请满足上述资质要求的供应商于</w:t>
      </w:r>
      <w:r>
        <w:rPr>
          <w:rFonts w:hint="eastAsia" w:ascii="仿宋" w:hAnsi="仿宋" w:eastAsia="仿宋" w:cs="仿宋"/>
          <w:color w:val="auto"/>
          <w:kern w:val="0"/>
          <w:sz w:val="32"/>
          <w:szCs w:val="32"/>
          <w:lang w:val="en-US" w:eastAsia="zh-CN"/>
        </w:rPr>
        <w:t>2025年3月5日17:00</w:t>
      </w:r>
      <w:r>
        <w:rPr>
          <w:rFonts w:hint="eastAsia" w:ascii="仿宋" w:hAnsi="仿宋" w:eastAsia="仿宋" w:cs="仿宋"/>
          <w:color w:val="auto"/>
          <w:kern w:val="0"/>
          <w:sz w:val="32"/>
          <w:szCs w:val="32"/>
          <w:lang w:val="en-US" w:eastAsia="zh-CN"/>
        </w:rPr>
        <w:t>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w:t>
      </w:r>
      <w:r>
        <w:rPr>
          <w:rFonts w:hint="eastAsia" w:ascii="仿宋" w:hAnsi="仿宋" w:eastAsia="仿宋" w:cs="仿宋"/>
          <w:color w:val="auto"/>
          <w:kern w:val="0"/>
          <w:sz w:val="32"/>
          <w:szCs w:val="32"/>
          <w:lang w:val="en-US" w:eastAsia="zh-CN"/>
        </w:rPr>
        <w:t>综合评分法（一次报价）</w:t>
      </w:r>
      <w:r>
        <w:rPr>
          <w:rFonts w:hint="eastAsia" w:ascii="仿宋" w:hAnsi="仿宋" w:eastAsia="仿宋" w:cs="仿宋"/>
          <w:color w:val="auto"/>
          <w:kern w:val="0"/>
          <w:sz w:val="32"/>
          <w:szCs w:val="32"/>
          <w:lang w:val="en-US" w:eastAsia="zh-CN"/>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1F96F765">
      <w:pPr>
        <w:pStyle w:val="15"/>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val="en-US" w:eastAsia="zh-CN"/>
        </w:rPr>
        <w:t>3.本项目不接受联合体，不允许分包。</w:t>
      </w:r>
    </w:p>
    <w:p w14:paraId="77572E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val="en-US" w:eastAsia="zh-CN"/>
        </w:rPr>
        <w:t>龙</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lang w:val="en-US" w:eastAsia="zh-CN"/>
        </w:rPr>
        <w:t>采购办</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val="en-US" w:eastAsia="zh-CN"/>
        </w:rPr>
        <w:t>0833-3211269</w:t>
      </w:r>
    </w:p>
    <w:p w14:paraId="01AF470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val="en-US" w:eastAsia="zh-CN"/>
        </w:rPr>
        <w:t>蒋</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lang w:val="en-US" w:eastAsia="zh-CN"/>
        </w:rPr>
        <w:t>药剂科</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val="en-US" w:eastAsia="zh-CN"/>
        </w:rPr>
        <w:t>0833-3351161</w:t>
      </w:r>
    </w:p>
    <w:p w14:paraId="56739166">
      <w:pPr>
        <w:pStyle w:val="2"/>
        <w:rPr>
          <w:rFonts w:hint="eastAsia"/>
          <w:color w:val="auto"/>
          <w:lang w:val="en-US" w:eastAsia="zh-CN"/>
        </w:rPr>
      </w:pPr>
    </w:p>
    <w:p w14:paraId="06BB2C90">
      <w:pPr>
        <w:pStyle w:val="2"/>
        <w:rPr>
          <w:rFonts w:hint="eastAsia"/>
          <w:color w:val="auto"/>
          <w:lang w:val="en-US" w:eastAsia="zh-CN"/>
        </w:rPr>
      </w:pPr>
    </w:p>
    <w:p w14:paraId="0C005918">
      <w:pPr>
        <w:pStyle w:val="2"/>
        <w:jc w:val="center"/>
        <w:rPr>
          <w:rFonts w:hint="eastAsia"/>
          <w:color w:val="auto"/>
          <w:lang w:eastAsia="zh-CN"/>
        </w:rPr>
      </w:pPr>
      <w:r>
        <w:rPr>
          <w:rFonts w:hint="eastAsia" w:ascii="黑体" w:hAnsi="黑体" w:eastAsia="黑体" w:cs="黑体"/>
          <w:b/>
          <w:color w:val="auto"/>
          <w:sz w:val="36"/>
          <w:szCs w:val="36"/>
          <w:lang w:eastAsia="zh-CN"/>
        </w:rPr>
        <w:t>第二章</w:t>
      </w:r>
      <w:r>
        <w:rPr>
          <w:rFonts w:hint="eastAsia" w:ascii="黑体" w:hAnsi="黑体" w:eastAsia="黑体" w:cs="黑体"/>
          <w:b/>
          <w:color w:val="auto"/>
          <w:sz w:val="36"/>
          <w:szCs w:val="36"/>
          <w:lang w:val="en-US" w:eastAsia="zh-CN"/>
        </w:rPr>
        <w:t xml:space="preserve">  </w:t>
      </w:r>
      <w:r>
        <w:rPr>
          <w:rFonts w:hint="eastAsia" w:ascii="黑体" w:hAnsi="黑体" w:eastAsia="黑体" w:cs="黑体"/>
          <w:b/>
          <w:color w:val="auto"/>
          <w:sz w:val="36"/>
          <w:szCs w:val="36"/>
          <w:lang w:eastAsia="zh-CN"/>
        </w:rPr>
        <w:t>采购须知</w:t>
      </w:r>
    </w:p>
    <w:p w14:paraId="4A68482B">
      <w:pPr>
        <w:pStyle w:val="30"/>
        <w:spacing w:line="240" w:lineRule="auto"/>
        <w:rPr>
          <w:rFonts w:hint="eastAsia"/>
          <w:color w:val="auto"/>
          <w:lang w:eastAsia="zh-CN"/>
        </w:rPr>
      </w:pPr>
    </w:p>
    <w:p w14:paraId="752D63B9">
      <w:pPr>
        <w:spacing w:line="240" w:lineRule="auto"/>
        <w:ind w:firstLine="643" w:firstLineChars="200"/>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一、院内采购总则</w:t>
      </w:r>
    </w:p>
    <w:p w14:paraId="47C86D6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采购</w:t>
      </w:r>
      <w:r>
        <w:rPr>
          <w:rFonts w:hint="eastAsia" w:ascii="仿宋" w:hAnsi="仿宋" w:eastAsia="仿宋" w:cs="仿宋"/>
          <w:color w:val="auto"/>
          <w:sz w:val="32"/>
          <w:szCs w:val="32"/>
        </w:rPr>
        <w:t>项目参照《中华人民共和国政府采购法》《四川省政府采购非招标采购方式实施办法》等有关法律、法规和规章，通过</w:t>
      </w:r>
      <w:r>
        <w:rPr>
          <w:rFonts w:hint="eastAsia" w:ascii="仿宋" w:hAnsi="仿宋" w:eastAsia="仿宋" w:cs="仿宋"/>
          <w:color w:val="auto"/>
          <w:sz w:val="32"/>
          <w:szCs w:val="32"/>
          <w:lang w:val="en-US" w:eastAsia="zh-CN"/>
        </w:rPr>
        <w:t>综合评分</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方式确定成交供应商。</w:t>
      </w:r>
    </w:p>
    <w:p w14:paraId="3B6BCC4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本项目</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供应商自行承担本项目</w:t>
      </w:r>
      <w:r>
        <w:rPr>
          <w:rFonts w:hint="eastAsia" w:ascii="仿宋" w:hAnsi="仿宋" w:eastAsia="仿宋" w:cs="仿宋"/>
          <w:color w:val="auto"/>
          <w:sz w:val="32"/>
          <w:szCs w:val="32"/>
          <w:lang w:val="en-US" w:eastAsia="zh-CN"/>
        </w:rPr>
        <w:t>采购</w:t>
      </w:r>
      <w:r>
        <w:rPr>
          <w:rFonts w:hint="eastAsia" w:ascii="仿宋" w:hAnsi="仿宋" w:eastAsia="仿宋" w:cs="仿宋"/>
          <w:color w:val="auto"/>
          <w:sz w:val="32"/>
          <w:szCs w:val="32"/>
        </w:rPr>
        <w:t>活动所发生</w:t>
      </w:r>
      <w:r>
        <w:rPr>
          <w:rFonts w:hint="eastAsia" w:ascii="仿宋" w:hAnsi="仿宋" w:eastAsia="仿宋" w:cs="仿宋"/>
          <w:color w:val="auto"/>
          <w:sz w:val="32"/>
          <w:szCs w:val="32"/>
          <w:lang w:eastAsia="zh-CN"/>
        </w:rPr>
        <w:t>现场踏勘、标书制作等</w:t>
      </w:r>
      <w:r>
        <w:rPr>
          <w:rFonts w:hint="eastAsia" w:ascii="仿宋" w:hAnsi="仿宋" w:eastAsia="仿宋" w:cs="仿宋"/>
          <w:color w:val="auto"/>
          <w:sz w:val="32"/>
          <w:szCs w:val="32"/>
        </w:rPr>
        <w:t>费用。</w:t>
      </w:r>
    </w:p>
    <w:p w14:paraId="57FEB435">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w:t>
      </w:r>
      <w:r>
        <w:rPr>
          <w:rFonts w:hint="eastAsia" w:ascii="仿宋" w:hAnsi="仿宋" w:eastAsia="仿宋" w:cs="仿宋"/>
          <w:b/>
          <w:bCs/>
          <w:color w:val="auto"/>
          <w:sz w:val="32"/>
          <w:szCs w:val="32"/>
          <w:lang w:eastAsia="zh-CN"/>
        </w:rPr>
        <w:t>采购</w:t>
      </w:r>
      <w:r>
        <w:rPr>
          <w:rFonts w:hint="eastAsia" w:ascii="仿宋" w:hAnsi="仿宋" w:eastAsia="仿宋" w:cs="仿宋"/>
          <w:b/>
          <w:bCs/>
          <w:color w:val="auto"/>
          <w:sz w:val="32"/>
          <w:szCs w:val="32"/>
        </w:rPr>
        <w:t>响应文件的编制</w:t>
      </w:r>
    </w:p>
    <w:p w14:paraId="3D9AA500">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eastAsia="zh-CN"/>
        </w:rPr>
        <w:t>分正（副）本装订</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一正</w:t>
      </w:r>
      <w:r>
        <w:rPr>
          <w:rFonts w:hint="eastAsia" w:ascii="仿宋" w:hAnsi="仿宋" w:eastAsia="仿宋" w:cs="仿宋"/>
          <w:color w:val="auto"/>
          <w:sz w:val="32"/>
          <w:szCs w:val="32"/>
          <w:lang w:val="en-US" w:eastAsia="zh-Hans"/>
        </w:rPr>
        <w:t>一</w:t>
      </w:r>
      <w:r>
        <w:rPr>
          <w:rFonts w:hint="eastAsia" w:ascii="仿宋" w:hAnsi="仿宋" w:eastAsia="仿宋" w:cs="仿宋"/>
          <w:color w:val="auto"/>
          <w:sz w:val="32"/>
          <w:szCs w:val="32"/>
          <w:lang w:eastAsia="zh-CN"/>
        </w:rPr>
        <w:t>副，</w:t>
      </w:r>
      <w:r>
        <w:rPr>
          <w:rFonts w:hint="eastAsia" w:ascii="仿宋" w:hAnsi="仿宋" w:eastAsia="仿宋" w:cs="仿宋"/>
          <w:color w:val="auto"/>
          <w:sz w:val="32"/>
          <w:szCs w:val="32"/>
        </w:rPr>
        <w:t>须用A4幅面纸张打印装订</w:t>
      </w:r>
      <w:r>
        <w:rPr>
          <w:rFonts w:hint="eastAsia" w:ascii="仿宋" w:hAnsi="仿宋" w:eastAsia="仿宋" w:cs="仿宋"/>
          <w:color w:val="auto"/>
          <w:sz w:val="32"/>
          <w:szCs w:val="32"/>
          <w:lang w:eastAsia="zh-CN"/>
        </w:rPr>
        <w:t>。</w:t>
      </w:r>
    </w:p>
    <w:p w14:paraId="7023D98A">
      <w:pPr>
        <w:spacing w:line="240" w:lineRule="auto"/>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院内采购</w:t>
      </w:r>
      <w:r>
        <w:rPr>
          <w:rFonts w:hint="eastAsia" w:ascii="仿宋" w:hAnsi="仿宋" w:eastAsia="仿宋" w:cs="仿宋"/>
          <w:b/>
          <w:bCs/>
          <w:color w:val="auto"/>
          <w:sz w:val="32"/>
          <w:szCs w:val="32"/>
        </w:rPr>
        <w:t>会议的召开</w:t>
      </w:r>
    </w:p>
    <w:p w14:paraId="5DD4FF04">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按</w:t>
      </w:r>
      <w:r>
        <w:rPr>
          <w:rFonts w:hint="eastAsia" w:ascii="仿宋" w:hAnsi="仿宋" w:eastAsia="仿宋" w:cs="仿宋"/>
          <w:color w:val="auto"/>
          <w:sz w:val="32"/>
          <w:szCs w:val="32"/>
          <w:lang w:eastAsia="zh-CN"/>
        </w:rPr>
        <w:t>院内采购</w:t>
      </w:r>
      <w:r>
        <w:rPr>
          <w:rFonts w:hint="eastAsia" w:ascii="仿宋" w:hAnsi="仿宋" w:eastAsia="仿宋" w:cs="仿宋"/>
          <w:color w:val="auto"/>
          <w:sz w:val="32"/>
          <w:szCs w:val="32"/>
        </w:rPr>
        <w:t>文件规定的时间和地点召</w:t>
      </w:r>
      <w:r>
        <w:rPr>
          <w:rFonts w:hint="eastAsia" w:ascii="仿宋" w:hAnsi="仿宋" w:eastAsia="仿宋" w:cs="仿宋"/>
          <w:color w:val="auto"/>
          <w:sz w:val="32"/>
          <w:szCs w:val="32"/>
          <w:lang w:eastAsia="zh-CN"/>
        </w:rPr>
        <w:t>开采购</w:t>
      </w:r>
      <w:r>
        <w:rPr>
          <w:rFonts w:hint="eastAsia" w:ascii="仿宋" w:hAnsi="仿宋" w:eastAsia="仿宋" w:cs="仿宋"/>
          <w:color w:val="auto"/>
          <w:sz w:val="32"/>
          <w:szCs w:val="32"/>
        </w:rPr>
        <w:t>会议，并邀请所有已报名的供应商参加。供应商的法定代表人或其授权委托代理人不参加会议，则视为自动放弃</w:t>
      </w:r>
      <w:r>
        <w:rPr>
          <w:rFonts w:hint="eastAsia" w:ascii="仿宋" w:hAnsi="仿宋" w:eastAsia="仿宋" w:cs="仿宋"/>
          <w:color w:val="auto"/>
          <w:sz w:val="32"/>
          <w:szCs w:val="32"/>
          <w:lang w:eastAsia="zh-CN"/>
        </w:rPr>
        <w:t>院内采购</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（谈判或磋商）。</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b/>
          <w:color w:val="auto"/>
          <w:sz w:val="32"/>
          <w:szCs w:val="32"/>
        </w:rPr>
        <w:t xml:space="preserve">  </w:t>
      </w:r>
      <w:r>
        <w:rPr>
          <w:rFonts w:hint="eastAsia" w:ascii="仿宋" w:hAnsi="仿宋" w:eastAsia="仿宋" w:cs="仿宋"/>
          <w:b/>
          <w:color w:val="auto"/>
          <w:sz w:val="32"/>
          <w:szCs w:val="32"/>
          <w:lang w:val="en-US" w:eastAsia="zh-CN"/>
        </w:rPr>
        <w:t xml:space="preserve">  </w:t>
      </w:r>
      <w:r>
        <w:rPr>
          <w:rFonts w:hint="eastAsia" w:ascii="仿宋" w:hAnsi="仿宋" w:eastAsia="仿宋" w:cs="仿宋"/>
          <w:color w:val="auto"/>
          <w:sz w:val="32"/>
          <w:szCs w:val="32"/>
          <w:lang w:eastAsia="zh-CN"/>
        </w:rPr>
        <w:t>院内采购</w:t>
      </w:r>
      <w:r>
        <w:rPr>
          <w:rFonts w:hint="eastAsia" w:ascii="仿宋" w:hAnsi="仿宋" w:eastAsia="仿宋" w:cs="仿宋"/>
          <w:color w:val="auto"/>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院内采购</w:t>
      </w:r>
      <w:r>
        <w:rPr>
          <w:rFonts w:hint="eastAsia" w:ascii="仿宋" w:hAnsi="仿宋" w:eastAsia="仿宋" w:cs="仿宋"/>
          <w:color w:val="auto"/>
          <w:sz w:val="32"/>
          <w:szCs w:val="32"/>
        </w:rPr>
        <w:t>由</w:t>
      </w: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由监督人员检查</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将符合密封要求的资格、技术商务、报价</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文件送</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小组评审；</w:t>
      </w:r>
    </w:p>
    <w:p w14:paraId="0BF2A081">
      <w:pPr>
        <w:pStyle w:val="6"/>
        <w:spacing w:line="240" w:lineRule="auto"/>
        <w:ind w:left="0" w:leftChars="0" w:firstLine="640" w:firstLineChars="20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结束后，由</w:t>
      </w:r>
      <w:r>
        <w:rPr>
          <w:rFonts w:hint="eastAsia" w:ascii="仿宋" w:hAnsi="仿宋" w:eastAsia="仿宋" w:cs="仿宋"/>
          <w:color w:val="auto"/>
          <w:sz w:val="32"/>
          <w:szCs w:val="32"/>
          <w:lang w:eastAsia="zh-CN"/>
        </w:rPr>
        <w:t>评审小组根据报价情况</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color w:val="auto"/>
          <w:sz w:val="32"/>
          <w:szCs w:val="32"/>
          <w:lang w:val="zh-CN" w:eastAsia="zh-CN"/>
        </w:rPr>
        <w:t>受理联系人及联系方式见公告</w:t>
      </w:r>
      <w:r>
        <w:rPr>
          <w:rFonts w:hint="eastAsia" w:ascii="仿宋" w:hAnsi="仿宋" w:eastAsia="仿宋" w:cs="仿宋"/>
          <w:color w:val="auto"/>
          <w:sz w:val="32"/>
          <w:szCs w:val="32"/>
          <w:lang w:val="en-US" w:eastAsia="zh-CN"/>
        </w:rPr>
        <w:t>采购办</w:t>
      </w:r>
      <w:r>
        <w:rPr>
          <w:rFonts w:hint="eastAsia" w:ascii="仿宋" w:hAnsi="仿宋" w:eastAsia="仿宋" w:cs="仿宋"/>
          <w:color w:val="auto"/>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color w:val="auto"/>
          <w:sz w:val="36"/>
          <w:szCs w:val="36"/>
        </w:rPr>
      </w:pPr>
      <w:r>
        <w:rPr>
          <w:rFonts w:hint="eastAsia" w:ascii="黑体" w:hAnsi="黑体" w:eastAsia="黑体" w:cs="黑体"/>
          <w:b/>
          <w:color w:val="auto"/>
          <w:sz w:val="36"/>
          <w:szCs w:val="36"/>
        </w:rPr>
        <w:t xml:space="preserve">第三章  </w:t>
      </w:r>
      <w:r>
        <w:rPr>
          <w:rFonts w:hint="eastAsia" w:ascii="黑体" w:hAnsi="黑体" w:eastAsia="黑体" w:cs="黑体"/>
          <w:b/>
          <w:color w:val="auto"/>
          <w:sz w:val="36"/>
          <w:szCs w:val="36"/>
          <w:lang w:eastAsia="zh-CN"/>
        </w:rPr>
        <w:t>采购</w:t>
      </w:r>
      <w:r>
        <w:rPr>
          <w:rFonts w:hint="eastAsia" w:ascii="黑体" w:hAnsi="黑体" w:eastAsia="黑体" w:cs="黑体"/>
          <w:b/>
          <w:color w:val="auto"/>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将根据</w:t>
      </w:r>
      <w:r>
        <w:rPr>
          <w:rFonts w:hint="eastAsia" w:ascii="仿宋" w:hAnsi="仿宋" w:eastAsia="仿宋" w:cs="仿宋"/>
          <w:color w:val="auto"/>
          <w:sz w:val="32"/>
          <w:szCs w:val="32"/>
          <w:lang w:eastAsia="zh-CN"/>
        </w:rPr>
        <w:t>采购邀请</w:t>
      </w:r>
      <w:r>
        <w:rPr>
          <w:rFonts w:hint="eastAsia" w:ascii="仿宋" w:hAnsi="仿宋" w:eastAsia="仿宋" w:cs="仿宋"/>
          <w:color w:val="auto"/>
          <w:sz w:val="32"/>
          <w:szCs w:val="32"/>
        </w:rPr>
        <w:t>中规定的递交文件截止时间前接受供应商响应文件，并按以下程序组织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一、组织</w:t>
      </w:r>
      <w:r>
        <w:rPr>
          <w:rFonts w:hint="eastAsia" w:ascii="仿宋" w:hAnsi="仿宋" w:eastAsia="仿宋" w:cs="仿宋"/>
          <w:color w:val="auto"/>
          <w:sz w:val="32"/>
          <w:szCs w:val="32"/>
          <w:lang w:eastAsia="zh-CN"/>
        </w:rPr>
        <w:t>采购评审</w:t>
      </w:r>
      <w:r>
        <w:rPr>
          <w:rFonts w:hint="eastAsia" w:ascii="仿宋" w:hAnsi="仿宋" w:eastAsia="仿宋" w:cs="仿宋"/>
          <w:color w:val="auto"/>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响应文件未实质性响应</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响应文件无法定代表人签字，或签字人未被法定代表人授权的</w:t>
      </w:r>
      <w:r>
        <w:rPr>
          <w:rFonts w:hint="eastAsia" w:ascii="仿宋" w:hAnsi="仿宋" w:eastAsia="仿宋" w:cs="仿宋"/>
          <w:color w:val="auto"/>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不同</w:t>
      </w:r>
      <w:r>
        <w:rPr>
          <w:rFonts w:hint="eastAsia" w:ascii="仿宋" w:hAnsi="仿宋" w:eastAsia="仿宋" w:cs="仿宋"/>
          <w:color w:val="auto"/>
          <w:kern w:val="0"/>
          <w:sz w:val="32"/>
          <w:szCs w:val="32"/>
        </w:rPr>
        <w:t>供应商负责人为同一人或者存在直接控股、管理关系的；</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的任何一方不得透露与</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有关的其他供应商的技术资料、价格和其他信息。</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轮次一般为一轮（评审</w:t>
      </w:r>
      <w:r>
        <w:rPr>
          <w:rFonts w:hint="eastAsia" w:ascii="仿宋" w:hAnsi="仿宋" w:eastAsia="仿宋" w:cs="仿宋"/>
          <w:color w:val="auto"/>
          <w:sz w:val="32"/>
          <w:szCs w:val="32"/>
          <w:lang w:eastAsia="zh-CN"/>
        </w:rPr>
        <w:t>小组</w:t>
      </w:r>
      <w:r>
        <w:rPr>
          <w:rFonts w:hint="eastAsia" w:ascii="仿宋" w:hAnsi="仿宋" w:eastAsia="仿宋" w:cs="仿宋"/>
          <w:color w:val="auto"/>
          <w:sz w:val="32"/>
          <w:szCs w:val="32"/>
        </w:rPr>
        <w:t>可根据</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情况调整轮次）。如供应商在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过程中存在违法、违纪行为，</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将不允许其参加最后报价。</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结束后，</w:t>
      </w:r>
      <w:r>
        <w:rPr>
          <w:rFonts w:hint="eastAsia" w:ascii="仿宋" w:hAnsi="仿宋" w:eastAsia="仿宋" w:cs="仿宋"/>
          <w:color w:val="auto"/>
          <w:sz w:val="32"/>
          <w:szCs w:val="32"/>
          <w:lang w:eastAsia="zh-CN"/>
        </w:rPr>
        <w:t>评审小组要求供应商现场进行</w:t>
      </w:r>
      <w:r>
        <w:rPr>
          <w:rFonts w:hint="eastAsia" w:ascii="仿宋" w:hAnsi="仿宋" w:eastAsia="仿宋" w:cs="仿宋"/>
          <w:color w:val="auto"/>
          <w:sz w:val="32"/>
          <w:szCs w:val="32"/>
        </w:rPr>
        <w:t>最终报价</w:t>
      </w:r>
      <w:r>
        <w:rPr>
          <w:rFonts w:hint="eastAsia" w:ascii="仿宋" w:hAnsi="仿宋" w:eastAsia="仿宋" w:cs="仿宋"/>
          <w:color w:val="auto"/>
          <w:sz w:val="32"/>
          <w:szCs w:val="32"/>
          <w:lang w:eastAsia="zh-CN"/>
        </w:rPr>
        <w:t>填报后</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根据符合采购需求、质量和服务相等且</w:t>
      </w:r>
      <w:r>
        <w:rPr>
          <w:rFonts w:hint="eastAsia" w:ascii="仿宋" w:hAnsi="仿宋" w:eastAsia="仿宋" w:cs="仿宋"/>
          <w:color w:val="auto"/>
          <w:sz w:val="32"/>
          <w:szCs w:val="32"/>
          <w:lang w:eastAsia="zh-CN"/>
        </w:rPr>
        <w:t>综合评分最高</w:t>
      </w:r>
      <w:r>
        <w:rPr>
          <w:rFonts w:hint="eastAsia" w:ascii="仿宋" w:hAnsi="仿宋" w:eastAsia="仿宋" w:cs="仿宋"/>
          <w:color w:val="auto"/>
          <w:sz w:val="32"/>
          <w:szCs w:val="32"/>
        </w:rPr>
        <w:t>的原则推荐成交候选供应商，由采购人授权</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确认成交供应商，</w:t>
      </w: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个工作日内在</w:t>
      </w:r>
      <w:r>
        <w:rPr>
          <w:rFonts w:hint="eastAsia" w:ascii="仿宋" w:hAnsi="仿宋" w:eastAsia="仿宋" w:cs="仿宋"/>
          <w:color w:val="auto"/>
          <w:sz w:val="32"/>
          <w:szCs w:val="32"/>
          <w:lang w:eastAsia="zh-CN"/>
        </w:rPr>
        <w:t>乐山市五通桥区人民医院</w:t>
      </w:r>
      <w:r>
        <w:rPr>
          <w:rFonts w:hint="eastAsia" w:ascii="仿宋" w:hAnsi="仿宋" w:eastAsia="仿宋" w:cs="仿宋"/>
          <w:color w:val="auto"/>
          <w:sz w:val="32"/>
          <w:szCs w:val="32"/>
          <w:lang w:val="en-US" w:eastAsia="zh-CN"/>
        </w:rPr>
        <w:t>网</w:t>
      </w:r>
      <w:r>
        <w:rPr>
          <w:rFonts w:hint="eastAsia" w:ascii="仿宋" w:hAnsi="仿宋" w:eastAsia="仿宋" w:cs="仿宋"/>
          <w:color w:val="auto"/>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四、成交标准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最终报价为依据（未组织</w:t>
      </w:r>
      <w:r>
        <w:rPr>
          <w:rFonts w:hint="eastAsia" w:ascii="仿宋" w:hAnsi="仿宋" w:eastAsia="仿宋" w:cs="仿宋"/>
          <w:color w:val="auto"/>
          <w:sz w:val="32"/>
          <w:szCs w:val="32"/>
          <w:lang w:val="en-US" w:eastAsia="zh-CN"/>
        </w:rPr>
        <w:t>二次报价</w:t>
      </w:r>
      <w:r>
        <w:rPr>
          <w:rFonts w:hint="eastAsia" w:ascii="仿宋" w:hAnsi="仿宋" w:eastAsia="仿宋" w:cs="仿宋"/>
          <w:color w:val="auto"/>
          <w:sz w:val="32"/>
          <w:szCs w:val="32"/>
        </w:rPr>
        <w:t>的，以报价响应文件中的报价为依据），体现满足采购项目要求</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综合评分最高</w:t>
      </w:r>
      <w:r>
        <w:rPr>
          <w:rFonts w:hint="eastAsia" w:ascii="仿宋" w:hAnsi="仿宋" w:eastAsia="仿宋" w:cs="仿宋"/>
          <w:color w:val="auto"/>
          <w:sz w:val="32"/>
          <w:szCs w:val="32"/>
        </w:rPr>
        <w:t>原则确定成交供应商。</w:t>
      </w:r>
    </w:p>
    <w:p w14:paraId="091173C2">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按照采取随机抽取方式确定</w:t>
      </w:r>
      <w:r>
        <w:rPr>
          <w:rFonts w:hint="eastAsia" w:ascii="仿宋" w:hAnsi="仿宋" w:eastAsia="仿宋" w:cs="仿宋"/>
          <w:color w:val="auto"/>
          <w:sz w:val="32"/>
          <w:szCs w:val="32"/>
          <w:lang w:val="en-US" w:eastAsia="zh-CN"/>
        </w:rPr>
        <w:t>第一候选人</w:t>
      </w:r>
      <w:r>
        <w:rPr>
          <w:rFonts w:hint="eastAsia" w:ascii="仿宋" w:hAnsi="仿宋" w:eastAsia="仿宋" w:cs="仿宋"/>
          <w:color w:val="auto"/>
          <w:sz w:val="32"/>
          <w:szCs w:val="32"/>
        </w:rPr>
        <w:t>，其他投标无效。</w:t>
      </w:r>
    </w:p>
    <w:p w14:paraId="2BBA66FB">
      <w:pPr>
        <w:ind w:firstLine="640" w:firstLineChars="200"/>
        <w:jc w:val="left"/>
        <w:rPr>
          <w:rFonts w:hint="default" w:eastAsia="仿宋"/>
          <w:color w:val="auto"/>
          <w:lang w:val="en-US" w:eastAsia="zh-CN"/>
        </w:rPr>
      </w:pPr>
      <w:r>
        <w:rPr>
          <w:rFonts w:hint="eastAsia" w:ascii="仿宋" w:hAnsi="仿宋" w:eastAsia="仿宋" w:cs="仿宋"/>
          <w:color w:val="auto"/>
          <w:sz w:val="32"/>
          <w:szCs w:val="32"/>
          <w:lang w:val="en-US" w:eastAsia="zh-CN"/>
        </w:rPr>
        <w:t>采用</w:t>
      </w:r>
      <w:r>
        <w:rPr>
          <w:rFonts w:hint="eastAsia" w:ascii="仿宋" w:hAnsi="仿宋" w:eastAsia="仿宋" w:cs="仿宋"/>
          <w:color w:val="auto"/>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auto"/>
          <w:sz w:val="32"/>
          <w:szCs w:val="32"/>
          <w:lang w:val="en-US" w:eastAsia="zh-CN"/>
        </w:rPr>
        <w:t>则价格最低的供应商</w:t>
      </w:r>
      <w:r>
        <w:rPr>
          <w:rFonts w:hint="eastAsia" w:ascii="仿宋" w:hAnsi="仿宋" w:eastAsia="仿宋" w:cs="仿宋"/>
          <w:color w:val="auto"/>
          <w:sz w:val="32"/>
          <w:szCs w:val="32"/>
        </w:rPr>
        <w:t>确定</w:t>
      </w:r>
      <w:r>
        <w:rPr>
          <w:rFonts w:hint="eastAsia" w:ascii="仿宋" w:hAnsi="仿宋" w:eastAsia="仿宋" w:cs="仿宋"/>
          <w:color w:val="auto"/>
          <w:sz w:val="32"/>
          <w:szCs w:val="32"/>
          <w:lang w:val="en-US" w:eastAsia="zh-CN"/>
        </w:rPr>
        <w:t>第一候选人。价格也相同时，</w:t>
      </w:r>
      <w:r>
        <w:rPr>
          <w:rFonts w:hint="eastAsia" w:ascii="仿宋" w:hAnsi="仿宋" w:eastAsia="仿宋" w:cs="仿宋"/>
          <w:color w:val="auto"/>
          <w:sz w:val="32"/>
          <w:szCs w:val="32"/>
        </w:rPr>
        <w:t>由采购人</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按照采取随机抽取方式确定</w:t>
      </w:r>
      <w:r>
        <w:rPr>
          <w:rFonts w:hint="eastAsia" w:ascii="仿宋" w:hAnsi="仿宋" w:eastAsia="仿宋" w:cs="仿宋"/>
          <w:color w:val="auto"/>
          <w:sz w:val="32"/>
          <w:szCs w:val="32"/>
          <w:lang w:val="en-US" w:eastAsia="zh-CN"/>
        </w:rPr>
        <w:t>第一候选人</w:t>
      </w:r>
      <w:r>
        <w:rPr>
          <w:rFonts w:hint="eastAsia" w:ascii="仿宋" w:hAnsi="仿宋" w:eastAsia="仿宋" w:cs="仿宋"/>
          <w:color w:val="auto"/>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院内采购评审小组</w:t>
      </w:r>
      <w:r>
        <w:rPr>
          <w:rFonts w:hint="eastAsia" w:ascii="仿宋" w:hAnsi="仿宋" w:eastAsia="仿宋" w:cs="仿宋"/>
          <w:color w:val="auto"/>
          <w:sz w:val="32"/>
          <w:szCs w:val="32"/>
        </w:rPr>
        <w:t>的组建。</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依法由三人</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在评审过程中，供应商报价明显低于其他有效供应商报价，有可能影响产品质量或者不能诚信履约的，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小组应当要求其在</w:t>
      </w:r>
      <w:r>
        <w:rPr>
          <w:rFonts w:hint="eastAsia" w:ascii="仿宋" w:hAnsi="仿宋" w:eastAsia="仿宋" w:cs="仿宋"/>
          <w:color w:val="auto"/>
          <w:sz w:val="32"/>
          <w:szCs w:val="32"/>
          <w:lang w:val="en-US" w:eastAsia="zh-CN"/>
        </w:rPr>
        <w:t>半</w:t>
      </w:r>
      <w:r>
        <w:rPr>
          <w:rFonts w:hint="eastAsia" w:ascii="仿宋" w:hAnsi="仿宋" w:eastAsia="仿宋" w:cs="仿宋"/>
          <w:color w:val="auto"/>
          <w:sz w:val="32"/>
          <w:szCs w:val="32"/>
        </w:rPr>
        <w:t>小时内提供书面说明，并提交相关证明材料，供应商不能证明其报价合理性的，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供应商提供书面说明后，</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工作纪律和注意事项。在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活动中，供应商、</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不得泄露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供应商不得相互串通报价；不得向</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成员行贿谋取成交；不得以他人名义或者其他方式弄虚作假骗取成交；不得以任何方式干扰、影响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成员不得收受他人财物或者其他好处，不得向他人透露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活动中的各个细节和标准情况。在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活动中，不得擅离职守，影响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活动的进行，不得使用本</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auto"/>
          <w:sz w:val="24"/>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的工作人员不得收受他人的财物或者其他好处，不得向他人透露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活动中各有关细节及推荐评审情况。在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活动中不得擅离职守，影响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活动的正常进行。</w:t>
      </w:r>
    </w:p>
    <w:p w14:paraId="015F6023">
      <w:pPr>
        <w:pStyle w:val="6"/>
        <w:ind w:left="0" w:leftChars="0" w:firstLine="0" w:firstLineChars="0"/>
        <w:rPr>
          <w:rFonts w:hint="eastAsia" w:ascii="黑体" w:hAnsi="黑体" w:eastAsia="黑体" w:cs="黑体"/>
          <w:color w:val="auto"/>
          <w:lang w:eastAsia="zh-CN"/>
        </w:rPr>
      </w:pPr>
    </w:p>
    <w:p w14:paraId="313622CD">
      <w:pPr>
        <w:rPr>
          <w:rFonts w:hint="eastAsia" w:ascii="黑体" w:hAnsi="黑体" w:eastAsia="黑体" w:cs="黑体"/>
          <w:color w:val="auto"/>
          <w:lang w:val="en-US" w:eastAsia="zh-CN"/>
        </w:rPr>
      </w:pPr>
    </w:p>
    <w:p w14:paraId="05D22D78">
      <w:pPr>
        <w:rPr>
          <w:rFonts w:hint="eastAsia" w:ascii="黑体" w:hAnsi="黑体" w:eastAsia="黑体" w:cs="黑体"/>
          <w:b/>
          <w:color w:val="auto"/>
          <w:sz w:val="48"/>
          <w:szCs w:val="48"/>
          <w:u w:val="single"/>
        </w:rPr>
      </w:pPr>
      <w:r>
        <w:rPr>
          <w:rFonts w:hint="eastAsia" w:ascii="黑体" w:hAnsi="黑体" w:eastAsia="黑体" w:cs="黑体"/>
          <w:b/>
          <w:color w:val="auto"/>
          <w:sz w:val="48"/>
          <w:szCs w:val="48"/>
          <w:u w:val="single"/>
        </w:rPr>
        <w:br w:type="page"/>
      </w:r>
    </w:p>
    <w:p w14:paraId="051E9A29">
      <w:pPr>
        <w:spacing w:line="360" w:lineRule="auto"/>
        <w:jc w:val="left"/>
        <w:rPr>
          <w:rFonts w:hint="eastAsia" w:ascii="黑体" w:hAnsi="黑体" w:eastAsia="黑体" w:cs="黑体"/>
          <w:b/>
          <w:color w:val="auto"/>
          <w:sz w:val="48"/>
          <w:szCs w:val="48"/>
          <w:lang w:val="en-US" w:eastAsia="zh-CN"/>
        </w:rPr>
      </w:pPr>
      <w:r>
        <w:rPr>
          <w:rFonts w:hint="eastAsia" w:ascii="黑体" w:hAnsi="黑体" w:eastAsia="黑体" w:cs="黑体"/>
          <w:b/>
          <w:color w:val="auto"/>
          <w:sz w:val="48"/>
          <w:szCs w:val="48"/>
          <w:lang w:val="en-US" w:eastAsia="zh-CN"/>
        </w:rPr>
        <w:t>（采购封面）</w:t>
      </w:r>
    </w:p>
    <w:p w14:paraId="55C87371">
      <w:pPr>
        <w:spacing w:line="360" w:lineRule="auto"/>
        <w:jc w:val="center"/>
        <w:rPr>
          <w:rFonts w:hint="eastAsia" w:ascii="黑体" w:hAnsi="黑体" w:eastAsia="黑体" w:cs="黑体"/>
          <w:b/>
          <w:color w:val="auto"/>
          <w:sz w:val="48"/>
          <w:szCs w:val="48"/>
          <w:lang w:eastAsia="zh-CN"/>
        </w:rPr>
      </w:pPr>
      <w:r>
        <w:rPr>
          <w:rFonts w:hint="eastAsia" w:ascii="黑体" w:hAnsi="黑体" w:eastAsia="黑体" w:cs="黑体"/>
          <w:b/>
          <w:color w:val="auto"/>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color w:val="auto"/>
          <w:sz w:val="84"/>
          <w:szCs w:val="84"/>
          <w:lang w:eastAsia="zh-CN"/>
        </w:rPr>
      </w:pPr>
    </w:p>
    <w:p w14:paraId="5E7EE96D">
      <w:pPr>
        <w:pStyle w:val="2"/>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院内采购文件</w:t>
      </w:r>
    </w:p>
    <w:p w14:paraId="6FE91240">
      <w:pPr>
        <w:rPr>
          <w:rFonts w:hint="eastAsia" w:ascii="黑体" w:hAnsi="黑体" w:eastAsia="黑体" w:cs="黑体"/>
          <w:color w:val="auto"/>
          <w:sz w:val="84"/>
          <w:szCs w:val="84"/>
          <w:lang w:val="en-US" w:eastAsia="zh-CN"/>
        </w:rPr>
      </w:pPr>
    </w:p>
    <w:p w14:paraId="65B839F2">
      <w:pPr>
        <w:pStyle w:val="2"/>
        <w:rPr>
          <w:rFonts w:hint="eastAsia" w:ascii="黑体" w:hAnsi="黑体" w:eastAsia="黑体" w:cs="黑体"/>
          <w:color w:val="auto"/>
          <w:lang w:val="en-US" w:eastAsia="zh-CN"/>
        </w:rPr>
      </w:pPr>
    </w:p>
    <w:p w14:paraId="24147955">
      <w:pPr>
        <w:spacing w:line="400" w:lineRule="exact"/>
        <w:ind w:firstLine="4897" w:firstLineChars="583"/>
        <w:rPr>
          <w:rFonts w:hint="eastAsia" w:ascii="黑体" w:hAnsi="黑体" w:eastAsia="黑体" w:cs="黑体"/>
          <w:color w:val="auto"/>
          <w:sz w:val="84"/>
          <w:szCs w:val="84"/>
        </w:rPr>
      </w:pPr>
    </w:p>
    <w:p w14:paraId="03B0BC2C">
      <w:pPr>
        <w:spacing w:line="400" w:lineRule="exact"/>
        <w:ind w:firstLine="4897" w:firstLineChars="583"/>
        <w:rPr>
          <w:rFonts w:hint="eastAsia" w:ascii="黑体" w:hAnsi="黑体" w:eastAsia="黑体" w:cs="黑体"/>
          <w:color w:val="auto"/>
          <w:sz w:val="84"/>
          <w:szCs w:val="84"/>
        </w:rPr>
      </w:pPr>
    </w:p>
    <w:p w14:paraId="44CCBE24">
      <w:pPr>
        <w:spacing w:line="400" w:lineRule="exact"/>
        <w:rPr>
          <w:rFonts w:hint="eastAsia" w:ascii="黑体" w:hAnsi="黑体" w:eastAsia="黑体" w:cs="黑体"/>
          <w:b/>
          <w:bCs/>
          <w:color w:val="auto"/>
          <w:sz w:val="30"/>
          <w:szCs w:val="30"/>
        </w:rPr>
      </w:pPr>
    </w:p>
    <w:p w14:paraId="203C3763">
      <w:pPr>
        <w:widowControl w:val="0"/>
        <w:adjustRightInd/>
        <w:spacing w:line="360" w:lineRule="auto"/>
        <w:rPr>
          <w:rFonts w:hint="eastAsia" w:ascii="黑体" w:hAnsi="黑体" w:eastAsia="黑体" w:cs="黑体"/>
          <w:b/>
          <w:color w:val="auto"/>
          <w:sz w:val="32"/>
          <w:szCs w:val="32"/>
          <w:u w:val="single"/>
        </w:rPr>
      </w:pPr>
      <w:r>
        <w:rPr>
          <w:rFonts w:hint="eastAsia" w:ascii="黑体" w:hAnsi="黑体" w:eastAsia="黑体" w:cs="黑体"/>
          <w:b/>
          <w:bCs/>
          <w:color w:val="auto"/>
          <w:sz w:val="32"/>
          <w:szCs w:val="32"/>
        </w:rPr>
        <w:t>项目名称：</w:t>
      </w:r>
      <w:r>
        <w:rPr>
          <w:rFonts w:hint="eastAsia" w:ascii="黑体" w:hAnsi="黑体" w:eastAsia="黑体" w:cs="黑体"/>
          <w:b/>
          <w:color w:val="auto"/>
          <w:sz w:val="32"/>
          <w:szCs w:val="32"/>
          <w:u w:val="single"/>
        </w:rPr>
        <w:t xml:space="preserve">                               </w:t>
      </w:r>
    </w:p>
    <w:p w14:paraId="6D849B8D">
      <w:pPr>
        <w:widowControl w:val="0"/>
        <w:adjustRightInd/>
        <w:spacing w:line="360" w:lineRule="auto"/>
        <w:rPr>
          <w:rFonts w:hint="default" w:ascii="黑体" w:hAnsi="黑体" w:eastAsia="黑体" w:cs="黑体"/>
          <w:b/>
          <w:color w:val="auto"/>
          <w:sz w:val="32"/>
          <w:szCs w:val="32"/>
          <w:u w:val="single"/>
          <w:lang w:val="en-US" w:eastAsia="zh-CN"/>
        </w:rPr>
      </w:pPr>
      <w:r>
        <w:rPr>
          <w:rFonts w:hint="eastAsia" w:ascii="黑体" w:hAnsi="黑体" w:eastAsia="黑体" w:cs="黑体"/>
          <w:b/>
          <w:bCs/>
          <w:color w:val="auto"/>
          <w:sz w:val="32"/>
          <w:szCs w:val="32"/>
          <w:lang w:val="en-US" w:eastAsia="zh-CN"/>
        </w:rPr>
        <w:t>项目编号：</w:t>
      </w:r>
      <w:r>
        <w:rPr>
          <w:rFonts w:hint="eastAsia" w:ascii="黑体" w:hAnsi="黑体" w:eastAsia="黑体" w:cs="黑体"/>
          <w:b/>
          <w:color w:val="auto"/>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color w:val="auto"/>
          <w:sz w:val="32"/>
          <w:szCs w:val="32"/>
          <w:u w:val="single"/>
        </w:rPr>
      </w:pPr>
      <w:r>
        <w:rPr>
          <w:rFonts w:hint="eastAsia" w:ascii="黑体" w:hAnsi="黑体" w:eastAsia="黑体" w:cs="黑体"/>
          <w:b/>
          <w:bCs/>
          <w:color w:val="auto"/>
          <w:sz w:val="32"/>
          <w:szCs w:val="32"/>
          <w:lang w:eastAsia="zh-CN"/>
        </w:rPr>
        <w:t>供应</w:t>
      </w:r>
      <w:r>
        <w:rPr>
          <w:rFonts w:hint="eastAsia" w:ascii="黑体" w:hAnsi="黑体" w:eastAsia="黑体" w:cs="黑体"/>
          <w:b/>
          <w:bCs/>
          <w:color w:val="auto"/>
          <w:sz w:val="32"/>
          <w:szCs w:val="32"/>
        </w:rPr>
        <w:t>商名称</w:t>
      </w:r>
      <w:r>
        <w:rPr>
          <w:rFonts w:hint="eastAsia" w:ascii="黑体" w:hAnsi="黑体" w:eastAsia="黑体" w:cs="黑体"/>
          <w:b/>
          <w:color w:val="auto"/>
          <w:sz w:val="32"/>
          <w:szCs w:val="32"/>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b/>
          <w:bCs/>
          <w:color w:val="auto"/>
          <w:sz w:val="32"/>
          <w:szCs w:val="32"/>
        </w:rPr>
        <w:t>（盖章）</w:t>
      </w:r>
    </w:p>
    <w:p w14:paraId="00278458">
      <w:pPr>
        <w:widowControl w:val="0"/>
        <w:adjustRightInd/>
        <w:spacing w:line="360" w:lineRule="auto"/>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color w:val="auto"/>
          <w:sz w:val="32"/>
          <w:szCs w:val="32"/>
        </w:rPr>
      </w:pPr>
    </w:p>
    <w:p w14:paraId="12B15D86">
      <w:pPr>
        <w:widowControl w:val="0"/>
        <w:adjustRightInd/>
        <w:spacing w:line="360" w:lineRule="auto"/>
        <w:ind w:firstLine="3040" w:firstLineChars="950"/>
        <w:rPr>
          <w:rFonts w:hint="eastAsia" w:ascii="黑体" w:hAnsi="黑体" w:eastAsia="黑体" w:cs="黑体"/>
          <w:color w:val="auto"/>
          <w:sz w:val="32"/>
          <w:szCs w:val="32"/>
        </w:rPr>
      </w:pP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rPr>
        <w:t>年</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rPr>
        <w:t>月</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rPr>
        <w:t>日</w:t>
      </w:r>
    </w:p>
    <w:p w14:paraId="0888E0B2">
      <w:pPr>
        <w:rPr>
          <w:rFonts w:hint="eastAsia" w:ascii="黑体" w:hAnsi="黑体" w:eastAsia="黑体" w:cs="黑体"/>
          <w:b/>
          <w:bCs/>
          <w:color w:val="auto"/>
          <w:sz w:val="32"/>
          <w:szCs w:val="32"/>
        </w:rPr>
      </w:pPr>
      <w:bookmarkStart w:id="0" w:name="_Toc9490"/>
      <w:bookmarkStart w:id="1" w:name="_Toc25737"/>
      <w:bookmarkStart w:id="2" w:name="_Toc5773"/>
      <w:bookmarkStart w:id="3" w:name="_Toc18458"/>
      <w:r>
        <w:rPr>
          <w:rFonts w:hint="eastAsia" w:ascii="黑体" w:hAnsi="黑体" w:eastAsia="黑体" w:cs="黑体"/>
          <w:b/>
          <w:bCs/>
          <w:color w:val="auto"/>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auto"/>
          <w:spacing w:val="2"/>
          <w:sz w:val="40"/>
          <w:szCs w:val="40"/>
        </w:rPr>
      </w:pPr>
      <w:bookmarkStart w:id="4" w:name="_Toc12449"/>
      <w:bookmarkStart w:id="5" w:name="_Toc17549"/>
      <w:bookmarkStart w:id="6" w:name="_Toc4003"/>
      <w:bookmarkStart w:id="7" w:name="_Toc439699516"/>
      <w:r>
        <w:rPr>
          <w:rFonts w:hint="eastAsia" w:ascii="黑体" w:hAnsi="黑体" w:eastAsia="黑体" w:cs="黑体"/>
          <w:color w:val="auto"/>
          <w:spacing w:val="2"/>
          <w:sz w:val="40"/>
          <w:szCs w:val="40"/>
        </w:rPr>
        <w:t>承诺函</w:t>
      </w:r>
    </w:p>
    <w:p w14:paraId="65A6C026">
      <w:pPr>
        <w:pStyle w:val="2"/>
        <w:rPr>
          <w:rFonts w:hint="eastAsia" w:ascii="黑体" w:hAnsi="黑体" w:eastAsia="黑体" w:cs="黑体"/>
          <w:color w:val="auto"/>
          <w:sz w:val="28"/>
          <w:szCs w:val="28"/>
        </w:rPr>
      </w:pPr>
      <w:bookmarkStart w:id="16" w:name="_GoBack"/>
      <w:bookmarkEnd w:id="16"/>
    </w:p>
    <w:p w14:paraId="35A996C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rPr>
        <w:t>乐山市</w:t>
      </w:r>
      <w:r>
        <w:rPr>
          <w:rFonts w:hint="eastAsia" w:ascii="仿宋" w:hAnsi="仿宋" w:eastAsia="仿宋" w:cs="仿宋"/>
          <w:color w:val="auto"/>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我方作为本次采购项目的供应商，根据供应商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1.</w:t>
      </w:r>
      <w:r>
        <w:rPr>
          <w:rFonts w:hint="eastAsia" w:ascii="仿宋" w:hAnsi="仿宋" w:eastAsia="仿宋" w:cs="仿宋"/>
          <w:color w:val="auto"/>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2.</w:t>
      </w:r>
      <w:r>
        <w:rPr>
          <w:rFonts w:hint="eastAsia" w:ascii="仿宋" w:hAnsi="仿宋" w:eastAsia="仿宋" w:cs="仿宋"/>
          <w:color w:val="auto"/>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3.</w:t>
      </w:r>
      <w:r>
        <w:rPr>
          <w:rFonts w:hint="eastAsia" w:ascii="仿宋" w:hAnsi="仿宋" w:eastAsia="仿宋" w:cs="仿宋"/>
          <w:color w:val="auto"/>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4.</w:t>
      </w:r>
      <w:r>
        <w:rPr>
          <w:rFonts w:hint="eastAsia" w:ascii="仿宋" w:hAnsi="仿宋" w:eastAsia="仿宋" w:cs="仿宋"/>
          <w:color w:val="auto"/>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5.</w:t>
      </w:r>
      <w:r>
        <w:rPr>
          <w:rFonts w:hint="eastAsia" w:ascii="仿宋" w:hAnsi="仿宋" w:eastAsia="仿宋" w:cs="仿宋"/>
          <w:color w:val="auto"/>
          <w:spacing w:val="2"/>
          <w:sz w:val="32"/>
          <w:szCs w:val="32"/>
        </w:rPr>
        <w:t>参加本次供应商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val="en-US" w:eastAsia="zh-CN"/>
        </w:rPr>
        <w:t>6.</w:t>
      </w:r>
      <w:r>
        <w:rPr>
          <w:rFonts w:hint="eastAsia" w:ascii="仿宋" w:hAnsi="仿宋" w:eastAsia="仿宋" w:cs="仿宋"/>
          <w:color w:val="auto"/>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二、我方完全接受本项目供应商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文件中规定的要求，如对供应商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文件有异议，已经在供应商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截止时间届满前依法进行维权，不存在对供应商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文件有异议的同时又参加</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三、我方完全接受并认可本项目供应商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文件中规定的要求，并通过我方的响应文件对供应商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文件的规定要求做出了全面的积极响应，如因我方提供的响应没有完全达到或符合本项目供应商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文件的规定要求，评审小组、本项目采购人等单位或组织按国家法律法规及供应商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四、我方完全尊重并认可本项目供应商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五、参加本次供应商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六、参加本次供应商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活动，不存在和其他供应商在同一合同项下的供应商</w:t>
      </w:r>
      <w:r>
        <w:rPr>
          <w:rFonts w:hint="eastAsia" w:ascii="仿宋" w:hAnsi="仿宋" w:eastAsia="仿宋" w:cs="仿宋"/>
          <w:color w:val="auto"/>
          <w:spacing w:val="2"/>
          <w:sz w:val="32"/>
          <w:szCs w:val="32"/>
          <w:lang w:eastAsia="zh-CN"/>
        </w:rPr>
        <w:t>采购</w:t>
      </w:r>
      <w:r>
        <w:rPr>
          <w:rFonts w:hint="eastAsia" w:ascii="仿宋" w:hAnsi="仿宋" w:eastAsia="仿宋" w:cs="仿宋"/>
          <w:color w:val="auto"/>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lang w:eastAsia="zh-CN"/>
        </w:rPr>
        <w:t>七</w:t>
      </w:r>
      <w:r>
        <w:rPr>
          <w:rFonts w:hint="eastAsia" w:ascii="仿宋" w:hAnsi="仿宋" w:eastAsia="仿宋" w:cs="仿宋"/>
          <w:color w:val="auto"/>
          <w:spacing w:val="2"/>
          <w:sz w:val="32"/>
          <w:szCs w:val="32"/>
        </w:rPr>
        <w:t>、供应商响应文件中提供的技术、服务、商务等响应承诺情况都是真实的、有效的、合法的。</w:t>
      </w:r>
    </w:p>
    <w:p w14:paraId="1665E5C6">
      <w:pPr>
        <w:pStyle w:val="2"/>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spacing w:val="2"/>
          <w:sz w:val="32"/>
          <w:szCs w:val="32"/>
          <w:lang w:val="en-US" w:eastAsia="zh-CN"/>
        </w:rPr>
        <w:t xml:space="preserve">    八、</w:t>
      </w:r>
      <w:r>
        <w:rPr>
          <w:rFonts w:hint="eastAsia" w:ascii="仿宋" w:hAnsi="仿宋" w:eastAsia="仿宋" w:cs="仿宋"/>
          <w:color w:val="auto"/>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本公司对上述承诺的内容事项真实性负责。如经查实上述承诺的内容事项存在虚假，我公司愿意接受以提供虚假材料谋取成交追究法律责任。</w:t>
      </w:r>
    </w:p>
    <w:p w14:paraId="026D5F56">
      <w:pPr>
        <w:pStyle w:val="29"/>
        <w:rPr>
          <w:rFonts w:hint="eastAsia" w:ascii="仿宋" w:hAnsi="仿宋" w:eastAsia="仿宋" w:cs="仿宋"/>
          <w:color w:val="auto"/>
          <w:sz w:val="32"/>
          <w:szCs w:val="32"/>
        </w:rPr>
      </w:pPr>
    </w:p>
    <w:p w14:paraId="77BBA41A">
      <w:pPr>
        <w:rPr>
          <w:rFonts w:hint="eastAsia"/>
          <w:color w:val="auto"/>
        </w:rPr>
      </w:pPr>
    </w:p>
    <w:p w14:paraId="37D7581A">
      <w:pPr>
        <w:snapToGrid w:val="0"/>
        <w:spacing w:line="360" w:lineRule="auto"/>
        <w:ind w:firstLine="2916" w:firstLineChars="900"/>
        <w:contextualSpacing/>
        <w:jc w:val="right"/>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auto"/>
          <w:spacing w:val="2"/>
          <w:sz w:val="28"/>
          <w:szCs w:val="28"/>
        </w:rPr>
      </w:pPr>
      <w:r>
        <w:rPr>
          <w:rFonts w:hint="eastAsia" w:ascii="仿宋" w:hAnsi="仿宋" w:eastAsia="仿宋" w:cs="仿宋"/>
          <w:color w:val="auto"/>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2"/>
        <w:adjustRightInd w:val="0"/>
        <w:snapToGrid w:val="0"/>
        <w:spacing w:after="0" w:line="360" w:lineRule="auto"/>
        <w:ind w:firstLine="560" w:firstLineChars="200"/>
        <w:rPr>
          <w:rFonts w:hint="eastAsia" w:ascii="黑体" w:hAnsi="黑体" w:eastAsia="黑体" w:cs="黑体"/>
          <w:color w:val="auto"/>
          <w:sz w:val="28"/>
          <w:szCs w:val="28"/>
          <w:lang w:eastAsia="zh-CN"/>
        </w:rPr>
      </w:pPr>
    </w:p>
    <w:p w14:paraId="7089335C">
      <w:pPr>
        <w:pStyle w:val="2"/>
        <w:adjustRightInd w:val="0"/>
        <w:snapToGrid w:val="0"/>
        <w:spacing w:after="0" w:line="360" w:lineRule="auto"/>
        <w:ind w:firstLine="560" w:firstLineChars="200"/>
        <w:rPr>
          <w:rFonts w:hint="eastAsia" w:ascii="黑体" w:hAnsi="黑体" w:eastAsia="黑体" w:cs="黑体"/>
          <w:color w:val="auto"/>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1287"/>
      <w:bookmarkStart w:id="9" w:name="_Toc439699522"/>
      <w:bookmarkStart w:id="10" w:name="_Toc16184"/>
      <w:bookmarkStart w:id="11" w:name="_Toc1800"/>
      <w:bookmarkStart w:id="12" w:name="_Toc24199"/>
      <w:bookmarkStart w:id="13" w:name="_Toc199"/>
      <w:bookmarkStart w:id="14" w:name="_Toc12426"/>
      <w:r>
        <w:rPr>
          <w:rFonts w:hint="eastAsia" w:ascii="黑体" w:hAnsi="黑体" w:eastAsia="黑体" w:cs="黑体"/>
          <w:color w:val="auto"/>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7"/>
        <w:spacing w:line="240" w:lineRule="auto"/>
        <w:ind w:firstLine="0"/>
        <w:rPr>
          <w:rFonts w:hint="eastAsia" w:ascii="仿宋" w:hAnsi="仿宋" w:eastAsia="仿宋" w:cs="仿宋"/>
          <w:color w:val="auto"/>
          <w:sz w:val="32"/>
          <w:szCs w:val="32"/>
        </w:rPr>
      </w:pPr>
    </w:p>
    <w:p w14:paraId="6DB0E3BA">
      <w:pPr>
        <w:pStyle w:val="27"/>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color w:val="auto"/>
          <w:sz w:val="36"/>
          <w:szCs w:val="36"/>
          <w:lang w:val="en-US" w:eastAsia="zh-CN"/>
        </w:rPr>
      </w:pPr>
      <w:r>
        <w:rPr>
          <w:rFonts w:hint="eastAsia" w:ascii="黑体" w:hAnsi="黑体" w:eastAsia="黑体" w:cs="黑体"/>
          <w:b/>
          <w:color w:val="auto"/>
          <w:sz w:val="36"/>
          <w:szCs w:val="36"/>
          <w:lang w:val="en-US" w:eastAsia="zh-CN"/>
        </w:rPr>
        <w:t>采购资质要求</w:t>
      </w:r>
    </w:p>
    <w:p w14:paraId="533A034D">
      <w:pPr>
        <w:pStyle w:val="2"/>
        <w:rPr>
          <w:rFonts w:hint="eastAsia" w:ascii="黑体" w:hAnsi="黑体" w:eastAsia="黑体" w:cs="黑体"/>
          <w:b/>
          <w:color w:val="auto"/>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6"/>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5565"/>
        <w:gridCol w:w="1060"/>
        <w:gridCol w:w="1599"/>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89" w:type="pct"/>
            <w:noWrap w:val="0"/>
            <w:vAlign w:val="center"/>
          </w:tcPr>
          <w:p w14:paraId="54D35842">
            <w:pPr>
              <w:snapToGrid w:val="0"/>
              <w:spacing w:line="240" w:lineRule="auto"/>
              <w:contextualSpacing/>
              <w:jc w:val="left"/>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序号</w:t>
            </w:r>
          </w:p>
        </w:tc>
        <w:tc>
          <w:tcPr>
            <w:tcW w:w="3119" w:type="pct"/>
            <w:noWrap w:val="0"/>
            <w:vAlign w:val="center"/>
          </w:tcPr>
          <w:p w14:paraId="5E0C6461">
            <w:pPr>
              <w:snapToGrid w:val="0"/>
              <w:spacing w:line="240" w:lineRule="auto"/>
              <w:contextualSpacing/>
              <w:jc w:val="left"/>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审查项目</w:t>
            </w:r>
          </w:p>
        </w:tc>
        <w:tc>
          <w:tcPr>
            <w:tcW w:w="594" w:type="pct"/>
            <w:noWrap w:val="0"/>
            <w:vAlign w:val="center"/>
          </w:tcPr>
          <w:p w14:paraId="7E34BE7B">
            <w:pPr>
              <w:snapToGrid w:val="0"/>
              <w:spacing w:line="240" w:lineRule="auto"/>
              <w:contextualSpacing/>
              <w:jc w:val="left"/>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合格条件</w:t>
            </w:r>
          </w:p>
        </w:tc>
        <w:tc>
          <w:tcPr>
            <w:tcW w:w="896" w:type="pct"/>
            <w:noWrap w:val="0"/>
            <w:vAlign w:val="center"/>
          </w:tcPr>
          <w:p w14:paraId="65C7415F">
            <w:pPr>
              <w:snapToGrid w:val="0"/>
              <w:spacing w:line="240" w:lineRule="auto"/>
              <w:contextualSpacing/>
              <w:jc w:val="left"/>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89" w:type="pct"/>
            <w:noWrap w:val="0"/>
            <w:vAlign w:val="center"/>
          </w:tcPr>
          <w:p w14:paraId="73454290">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1</w:t>
            </w:r>
          </w:p>
        </w:tc>
        <w:tc>
          <w:tcPr>
            <w:tcW w:w="3119" w:type="pct"/>
            <w:noWrap w:val="0"/>
            <w:vAlign w:val="center"/>
          </w:tcPr>
          <w:p w14:paraId="2077600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 xml:space="preserve">三证（营业执照、税务登记证、组织机构代码证）副本；三证合一的只须提供营业执照副本；事业单位、社会团体提供法人登记证书复印件 </w:t>
            </w:r>
          </w:p>
        </w:tc>
        <w:tc>
          <w:tcPr>
            <w:tcW w:w="594" w:type="pct"/>
            <w:noWrap w:val="0"/>
            <w:vAlign w:val="center"/>
          </w:tcPr>
          <w:p w14:paraId="5C997477">
            <w:pPr>
              <w:snapToGrid w:val="0"/>
              <w:spacing w:line="240" w:lineRule="auto"/>
              <w:contextualSpacing/>
              <w:jc w:val="left"/>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有效</w:t>
            </w:r>
          </w:p>
        </w:tc>
        <w:tc>
          <w:tcPr>
            <w:tcW w:w="896" w:type="pct"/>
            <w:noWrap w:val="0"/>
            <w:vAlign w:val="center"/>
          </w:tcPr>
          <w:p w14:paraId="03C1F4A4">
            <w:pPr>
              <w:snapToGrid w:val="0"/>
              <w:spacing w:line="240" w:lineRule="auto"/>
              <w:contextualSpacing/>
              <w:jc w:val="left"/>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89" w:type="pct"/>
            <w:noWrap w:val="0"/>
            <w:vAlign w:val="center"/>
          </w:tcPr>
          <w:p w14:paraId="1D80CC96">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2</w:t>
            </w:r>
          </w:p>
        </w:tc>
        <w:tc>
          <w:tcPr>
            <w:tcW w:w="3119" w:type="pct"/>
            <w:noWrap w:val="0"/>
            <w:vAlign w:val="center"/>
          </w:tcPr>
          <w:p w14:paraId="57E28AED">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提供承诺，购销廉洁、诚信承诺书</w:t>
            </w:r>
          </w:p>
        </w:tc>
        <w:tc>
          <w:tcPr>
            <w:tcW w:w="594" w:type="pct"/>
            <w:noWrap w:val="0"/>
            <w:vAlign w:val="center"/>
          </w:tcPr>
          <w:p w14:paraId="286C2793">
            <w:pPr>
              <w:snapToGrid w:val="0"/>
              <w:spacing w:line="240" w:lineRule="auto"/>
              <w:contextualSpacing/>
              <w:jc w:val="left"/>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有效</w:t>
            </w:r>
          </w:p>
        </w:tc>
        <w:tc>
          <w:tcPr>
            <w:tcW w:w="896" w:type="pct"/>
            <w:noWrap w:val="0"/>
            <w:vAlign w:val="center"/>
          </w:tcPr>
          <w:p w14:paraId="42C73788">
            <w:pPr>
              <w:snapToGrid w:val="0"/>
              <w:spacing w:line="240" w:lineRule="auto"/>
              <w:contextualSpacing/>
              <w:jc w:val="left"/>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89" w:type="pct"/>
            <w:noWrap w:val="0"/>
            <w:vAlign w:val="center"/>
          </w:tcPr>
          <w:p w14:paraId="5CFA2ADF">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3</w:t>
            </w:r>
          </w:p>
        </w:tc>
        <w:tc>
          <w:tcPr>
            <w:tcW w:w="3119" w:type="pct"/>
            <w:shd w:val="clear" w:color="auto" w:fill="auto"/>
            <w:noWrap w:val="0"/>
            <w:vAlign w:val="center"/>
          </w:tcPr>
          <w:p w14:paraId="0A250988">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法定代表人授权委托书（法定代表人参与的须提供法定代表人证明书），法定代表人和授权代表的身份证</w:t>
            </w:r>
          </w:p>
        </w:tc>
        <w:tc>
          <w:tcPr>
            <w:tcW w:w="594" w:type="pct"/>
            <w:shd w:val="clear" w:color="auto" w:fill="auto"/>
            <w:noWrap w:val="0"/>
            <w:vAlign w:val="center"/>
          </w:tcPr>
          <w:p w14:paraId="1D9CB619">
            <w:pPr>
              <w:snapToGrid w:val="0"/>
              <w:spacing w:line="240" w:lineRule="auto"/>
              <w:contextualSpacing/>
              <w:jc w:val="left"/>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有效</w:t>
            </w:r>
          </w:p>
        </w:tc>
        <w:tc>
          <w:tcPr>
            <w:tcW w:w="896" w:type="pct"/>
            <w:shd w:val="clear" w:color="auto" w:fill="auto"/>
            <w:noWrap w:val="0"/>
            <w:vAlign w:val="center"/>
          </w:tcPr>
          <w:p w14:paraId="39107788">
            <w:pPr>
              <w:snapToGrid w:val="0"/>
              <w:spacing w:line="240" w:lineRule="auto"/>
              <w:contextualSpacing/>
              <w:jc w:val="left"/>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89" w:type="pct"/>
            <w:noWrap w:val="0"/>
            <w:vAlign w:val="center"/>
          </w:tcPr>
          <w:p w14:paraId="637F2408">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4</w:t>
            </w:r>
          </w:p>
        </w:tc>
        <w:tc>
          <w:tcPr>
            <w:tcW w:w="3119" w:type="pct"/>
            <w:shd w:val="clear" w:color="auto" w:fill="auto"/>
            <w:noWrap w:val="0"/>
            <w:vAlign w:val="center"/>
          </w:tcPr>
          <w:p w14:paraId="24FFDEED">
            <w:pPr>
              <w:snapToGrid w:val="0"/>
              <w:spacing w:line="240" w:lineRule="auto"/>
              <w:contextualSpacing/>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供应商通过“信用中国”(</w:t>
            </w:r>
            <w:r>
              <w:rPr>
                <w:rFonts w:hint="eastAsia" w:ascii="仿宋" w:hAnsi="仿宋" w:eastAsia="仿宋" w:cs="仿宋"/>
                <w:color w:val="auto"/>
                <w:spacing w:val="2"/>
                <w:sz w:val="32"/>
                <w:szCs w:val="32"/>
                <w:lang w:eastAsia="zh-CN"/>
              </w:rPr>
              <w:fldChar w:fldCharType="begin"/>
            </w:r>
            <w:r>
              <w:rPr>
                <w:rFonts w:hint="eastAsia" w:ascii="仿宋" w:hAnsi="仿宋" w:eastAsia="仿宋" w:cs="仿宋"/>
                <w:color w:val="auto"/>
                <w:spacing w:val="2"/>
                <w:sz w:val="32"/>
                <w:szCs w:val="32"/>
                <w:lang w:eastAsia="zh-CN"/>
              </w:rPr>
              <w:instrText xml:space="preserve"> HYPERLINK "http://www.creditchina.gov.cn)" </w:instrText>
            </w:r>
            <w:r>
              <w:rPr>
                <w:rFonts w:hint="eastAsia" w:ascii="仿宋" w:hAnsi="仿宋" w:eastAsia="仿宋" w:cs="仿宋"/>
                <w:color w:val="auto"/>
                <w:spacing w:val="2"/>
                <w:sz w:val="32"/>
                <w:szCs w:val="32"/>
                <w:lang w:eastAsia="zh-CN"/>
              </w:rPr>
              <w:fldChar w:fldCharType="separate"/>
            </w:r>
            <w:r>
              <w:rPr>
                <w:rFonts w:hint="eastAsia" w:ascii="仿宋" w:hAnsi="仿宋" w:eastAsia="仿宋" w:cs="仿宋"/>
                <w:color w:val="auto"/>
                <w:spacing w:val="2"/>
                <w:sz w:val="32"/>
                <w:szCs w:val="32"/>
                <w:lang w:eastAsia="zh-CN"/>
              </w:rPr>
              <w:t>www.creditchina.gov.cn)</w:t>
            </w:r>
            <w:r>
              <w:rPr>
                <w:rFonts w:hint="eastAsia" w:ascii="仿宋" w:hAnsi="仿宋" w:eastAsia="仿宋" w:cs="仿宋"/>
                <w:color w:val="auto"/>
                <w:spacing w:val="2"/>
                <w:sz w:val="32"/>
                <w:szCs w:val="32"/>
                <w:lang w:eastAsia="zh-CN"/>
              </w:rPr>
              <w:fldChar w:fldCharType="end"/>
            </w:r>
            <w:r>
              <w:rPr>
                <w:rFonts w:hint="eastAsia" w:ascii="仿宋" w:hAnsi="仿宋" w:eastAsia="仿宋" w:cs="仿宋"/>
                <w:color w:val="auto"/>
                <w:spacing w:val="2"/>
                <w:sz w:val="32"/>
                <w:szCs w:val="32"/>
                <w:lang w:eastAsia="zh-CN"/>
              </w:rPr>
              <w:t>、“中国政府采购网”(www.ccgp.gov.cn)网站查询公告发布之日起前三年的信用记录，无不良记录</w:t>
            </w:r>
          </w:p>
        </w:tc>
        <w:tc>
          <w:tcPr>
            <w:tcW w:w="594" w:type="pct"/>
            <w:shd w:val="clear" w:color="auto" w:fill="auto"/>
            <w:noWrap w:val="0"/>
            <w:vAlign w:val="center"/>
          </w:tcPr>
          <w:p w14:paraId="61A7CF0F">
            <w:pPr>
              <w:snapToGrid w:val="0"/>
              <w:spacing w:line="240" w:lineRule="auto"/>
              <w:contextualSpacing/>
              <w:jc w:val="left"/>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有效</w:t>
            </w:r>
          </w:p>
        </w:tc>
        <w:tc>
          <w:tcPr>
            <w:tcW w:w="896" w:type="pct"/>
            <w:shd w:val="clear" w:color="auto" w:fill="auto"/>
            <w:noWrap w:val="0"/>
            <w:vAlign w:val="center"/>
          </w:tcPr>
          <w:p w14:paraId="369458A8">
            <w:pPr>
              <w:snapToGrid w:val="0"/>
              <w:spacing w:line="240" w:lineRule="auto"/>
              <w:contextualSpacing/>
              <w:jc w:val="left"/>
              <w:rPr>
                <w:rFonts w:hint="eastAsia" w:ascii="仿宋" w:hAnsi="仿宋" w:eastAsia="仿宋" w:cs="仿宋"/>
                <w:color w:val="auto"/>
                <w:spacing w:val="2"/>
                <w:kern w:val="2"/>
                <w:sz w:val="32"/>
                <w:szCs w:val="32"/>
                <w:lang w:val="en-US" w:eastAsia="zh-CN" w:bidi="ar-SA"/>
              </w:rPr>
            </w:pPr>
            <w:r>
              <w:rPr>
                <w:rFonts w:hint="eastAsia" w:ascii="仿宋" w:hAnsi="仿宋" w:eastAsia="仿宋" w:cs="仿宋"/>
                <w:color w:val="auto"/>
                <w:spacing w:val="2"/>
                <w:sz w:val="32"/>
                <w:szCs w:val="32"/>
                <w:lang w:eastAsia="zh-CN"/>
              </w:rPr>
              <w:t>网页截图盖公章</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89" w:type="pct"/>
            <w:noWrap w:val="0"/>
            <w:vAlign w:val="center"/>
          </w:tcPr>
          <w:p w14:paraId="2111DE38">
            <w:pPr>
              <w:snapToGrid w:val="0"/>
              <w:spacing w:line="240" w:lineRule="auto"/>
              <w:contextualSpacing/>
              <w:rPr>
                <w:rFonts w:hint="eastAsia" w:ascii="仿宋" w:hAnsi="仿宋" w:eastAsia="仿宋" w:cs="仿宋"/>
                <w:color w:val="auto"/>
                <w:spacing w:val="2"/>
                <w:sz w:val="32"/>
                <w:szCs w:val="32"/>
                <w:lang w:eastAsia="zh-CN"/>
              </w:rPr>
            </w:pPr>
            <w:r>
              <w:rPr>
                <w:rFonts w:hint="eastAsia" w:ascii="仿宋" w:hAnsi="仿宋" w:eastAsia="仿宋" w:cs="仿宋"/>
                <w:color w:val="auto"/>
                <w:spacing w:val="2"/>
                <w:sz w:val="32"/>
                <w:szCs w:val="32"/>
                <w:lang w:eastAsia="zh-CN"/>
              </w:rPr>
              <w:t>5</w:t>
            </w:r>
          </w:p>
        </w:tc>
        <w:tc>
          <w:tcPr>
            <w:tcW w:w="3119" w:type="pct"/>
            <w:noWrap w:val="0"/>
            <w:vAlign w:val="center"/>
          </w:tcPr>
          <w:p w14:paraId="1868FD0C">
            <w:pPr>
              <w:snapToGrid w:val="0"/>
              <w:spacing w:line="240" w:lineRule="auto"/>
              <w:contextualSpacing/>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生产企业经销授权书</w:t>
            </w:r>
          </w:p>
        </w:tc>
        <w:tc>
          <w:tcPr>
            <w:tcW w:w="594" w:type="pct"/>
            <w:noWrap w:val="0"/>
            <w:vAlign w:val="center"/>
          </w:tcPr>
          <w:p w14:paraId="72980604">
            <w:pPr>
              <w:snapToGrid w:val="0"/>
              <w:spacing w:line="240" w:lineRule="auto"/>
              <w:contextualSpacing/>
              <w:jc w:val="left"/>
              <w:rPr>
                <w:rFonts w:hint="default"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eastAsia="zh-CN"/>
              </w:rPr>
              <w:t>有效</w:t>
            </w:r>
          </w:p>
        </w:tc>
        <w:tc>
          <w:tcPr>
            <w:tcW w:w="896" w:type="pct"/>
            <w:noWrap w:val="0"/>
            <w:vAlign w:val="center"/>
          </w:tcPr>
          <w:p w14:paraId="6264DAF9">
            <w:pPr>
              <w:snapToGrid w:val="0"/>
              <w:spacing w:line="240" w:lineRule="auto"/>
              <w:contextualSpacing/>
              <w:jc w:val="left"/>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eastAsia="zh-CN"/>
              </w:rPr>
              <w:t>盖章</w:t>
            </w: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89" w:type="pct"/>
            <w:noWrap w:val="0"/>
            <w:vAlign w:val="center"/>
          </w:tcPr>
          <w:p w14:paraId="2E814991">
            <w:pPr>
              <w:snapToGrid w:val="0"/>
              <w:spacing w:line="240" w:lineRule="auto"/>
              <w:contextualSpacing/>
              <w:rPr>
                <w:rFonts w:hint="default" w:ascii="仿宋" w:hAnsi="仿宋" w:eastAsia="仿宋" w:cs="仿宋"/>
                <w:color w:val="auto"/>
                <w:spacing w:val="2"/>
                <w:sz w:val="32"/>
                <w:szCs w:val="32"/>
                <w:lang w:val="en-US" w:eastAsia="zh-CN"/>
              </w:rPr>
            </w:pPr>
          </w:p>
        </w:tc>
        <w:tc>
          <w:tcPr>
            <w:tcW w:w="3119" w:type="pct"/>
            <w:noWrap w:val="0"/>
            <w:vAlign w:val="center"/>
          </w:tcPr>
          <w:p w14:paraId="4BEDD5F8">
            <w:pPr>
              <w:snapToGrid w:val="0"/>
              <w:spacing w:line="240" w:lineRule="auto"/>
              <w:contextualSpacing/>
              <w:rPr>
                <w:rFonts w:hint="eastAsia" w:ascii="仿宋" w:hAnsi="仿宋" w:eastAsia="仿宋" w:cs="仿宋"/>
                <w:color w:val="auto"/>
                <w:spacing w:val="2"/>
                <w:sz w:val="32"/>
                <w:szCs w:val="32"/>
                <w:lang w:val="en-US" w:eastAsia="zh-CN"/>
              </w:rPr>
            </w:pPr>
          </w:p>
        </w:tc>
        <w:tc>
          <w:tcPr>
            <w:tcW w:w="594" w:type="pct"/>
            <w:noWrap w:val="0"/>
            <w:vAlign w:val="center"/>
          </w:tcPr>
          <w:p w14:paraId="1F4F69D6">
            <w:pPr>
              <w:snapToGrid w:val="0"/>
              <w:spacing w:line="240" w:lineRule="auto"/>
              <w:contextualSpacing/>
              <w:rPr>
                <w:rFonts w:hint="eastAsia" w:ascii="仿宋" w:hAnsi="仿宋" w:eastAsia="仿宋" w:cs="仿宋"/>
                <w:color w:val="auto"/>
                <w:spacing w:val="2"/>
                <w:sz w:val="32"/>
                <w:szCs w:val="32"/>
                <w:lang w:eastAsia="zh-CN"/>
              </w:rPr>
            </w:pPr>
          </w:p>
        </w:tc>
        <w:tc>
          <w:tcPr>
            <w:tcW w:w="896" w:type="pct"/>
            <w:noWrap w:val="0"/>
            <w:vAlign w:val="center"/>
          </w:tcPr>
          <w:p w14:paraId="56F03F65">
            <w:pPr>
              <w:snapToGrid w:val="0"/>
              <w:spacing w:line="240" w:lineRule="auto"/>
              <w:contextualSpacing/>
              <w:rPr>
                <w:rFonts w:hint="eastAsia" w:ascii="仿宋" w:hAnsi="仿宋" w:eastAsia="仿宋" w:cs="仿宋"/>
                <w:color w:val="auto"/>
                <w:spacing w:val="2"/>
                <w:sz w:val="32"/>
                <w:szCs w:val="32"/>
                <w:lang w:eastAsia="zh-CN"/>
              </w:rPr>
            </w:pPr>
          </w:p>
        </w:tc>
      </w:tr>
      <w:tr w14:paraId="5D3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89" w:type="pct"/>
            <w:noWrap w:val="0"/>
            <w:vAlign w:val="center"/>
          </w:tcPr>
          <w:p w14:paraId="6347D034">
            <w:pPr>
              <w:snapToGrid w:val="0"/>
              <w:spacing w:line="240" w:lineRule="auto"/>
              <w:contextualSpacing/>
              <w:rPr>
                <w:rFonts w:hint="eastAsia" w:ascii="仿宋" w:hAnsi="仿宋" w:eastAsia="仿宋" w:cs="仿宋"/>
                <w:color w:val="auto"/>
                <w:spacing w:val="2"/>
                <w:sz w:val="32"/>
                <w:szCs w:val="32"/>
                <w:lang w:eastAsia="zh-CN"/>
              </w:rPr>
            </w:pPr>
          </w:p>
        </w:tc>
        <w:tc>
          <w:tcPr>
            <w:tcW w:w="3119" w:type="pct"/>
            <w:noWrap w:val="0"/>
            <w:vAlign w:val="center"/>
          </w:tcPr>
          <w:p w14:paraId="6AC71881">
            <w:pPr>
              <w:snapToGrid w:val="0"/>
              <w:spacing w:line="240" w:lineRule="auto"/>
              <w:contextualSpacing/>
              <w:rPr>
                <w:rFonts w:hint="eastAsia" w:ascii="仿宋" w:hAnsi="仿宋" w:eastAsia="仿宋" w:cs="仿宋"/>
                <w:color w:val="auto"/>
                <w:spacing w:val="2"/>
                <w:sz w:val="32"/>
                <w:szCs w:val="32"/>
                <w:lang w:val="en-US" w:eastAsia="zh-CN"/>
              </w:rPr>
            </w:pPr>
          </w:p>
        </w:tc>
        <w:tc>
          <w:tcPr>
            <w:tcW w:w="594" w:type="pct"/>
            <w:noWrap w:val="0"/>
            <w:vAlign w:val="center"/>
          </w:tcPr>
          <w:p w14:paraId="181B9554">
            <w:pPr>
              <w:snapToGrid w:val="0"/>
              <w:spacing w:line="240" w:lineRule="auto"/>
              <w:contextualSpacing/>
              <w:rPr>
                <w:rFonts w:hint="eastAsia" w:ascii="仿宋" w:hAnsi="仿宋" w:eastAsia="仿宋" w:cs="仿宋"/>
                <w:color w:val="auto"/>
                <w:spacing w:val="2"/>
                <w:sz w:val="32"/>
                <w:szCs w:val="32"/>
                <w:lang w:eastAsia="zh-CN"/>
              </w:rPr>
            </w:pPr>
          </w:p>
        </w:tc>
        <w:tc>
          <w:tcPr>
            <w:tcW w:w="896" w:type="pct"/>
            <w:noWrap w:val="0"/>
            <w:vAlign w:val="center"/>
          </w:tcPr>
          <w:p w14:paraId="0A6B7EED">
            <w:pPr>
              <w:snapToGrid w:val="0"/>
              <w:spacing w:line="240" w:lineRule="auto"/>
              <w:contextualSpacing/>
              <w:rPr>
                <w:rFonts w:hint="eastAsia" w:ascii="仿宋" w:hAnsi="仿宋" w:eastAsia="仿宋" w:cs="仿宋"/>
                <w:color w:val="auto"/>
                <w:spacing w:val="2"/>
                <w:sz w:val="32"/>
                <w:szCs w:val="32"/>
                <w:lang w:eastAsia="zh-CN"/>
              </w:rPr>
            </w:pPr>
          </w:p>
        </w:tc>
      </w:tr>
      <w:tr w14:paraId="13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89" w:type="pct"/>
            <w:noWrap w:val="0"/>
            <w:vAlign w:val="center"/>
          </w:tcPr>
          <w:p w14:paraId="6C97E152">
            <w:pPr>
              <w:snapToGrid w:val="0"/>
              <w:spacing w:line="240" w:lineRule="auto"/>
              <w:contextualSpacing/>
              <w:rPr>
                <w:rFonts w:hint="default" w:ascii="仿宋" w:hAnsi="仿宋" w:eastAsia="仿宋" w:cs="仿宋"/>
                <w:color w:val="auto"/>
                <w:spacing w:val="2"/>
                <w:sz w:val="32"/>
                <w:szCs w:val="32"/>
                <w:lang w:val="en-US" w:eastAsia="zh-CN"/>
              </w:rPr>
            </w:pPr>
          </w:p>
        </w:tc>
        <w:tc>
          <w:tcPr>
            <w:tcW w:w="3119" w:type="pct"/>
            <w:noWrap w:val="0"/>
            <w:vAlign w:val="center"/>
          </w:tcPr>
          <w:p w14:paraId="3CC69F2B">
            <w:pPr>
              <w:snapToGrid w:val="0"/>
              <w:spacing w:line="240" w:lineRule="auto"/>
              <w:contextualSpacing/>
              <w:rPr>
                <w:rFonts w:hint="default" w:ascii="仿宋" w:hAnsi="仿宋" w:eastAsia="仿宋" w:cs="仿宋"/>
                <w:color w:val="auto"/>
                <w:spacing w:val="2"/>
                <w:sz w:val="32"/>
                <w:szCs w:val="32"/>
                <w:lang w:val="en-US" w:eastAsia="zh-CN"/>
              </w:rPr>
            </w:pPr>
          </w:p>
        </w:tc>
        <w:tc>
          <w:tcPr>
            <w:tcW w:w="594" w:type="pct"/>
            <w:noWrap w:val="0"/>
            <w:vAlign w:val="center"/>
          </w:tcPr>
          <w:p w14:paraId="70DAD64F">
            <w:pPr>
              <w:snapToGrid w:val="0"/>
              <w:spacing w:line="240" w:lineRule="auto"/>
              <w:contextualSpacing/>
              <w:rPr>
                <w:rFonts w:hint="default" w:ascii="仿宋" w:hAnsi="仿宋" w:eastAsia="仿宋" w:cs="仿宋"/>
                <w:color w:val="auto"/>
                <w:spacing w:val="2"/>
                <w:sz w:val="32"/>
                <w:szCs w:val="32"/>
                <w:lang w:val="en-US" w:eastAsia="zh-CN"/>
              </w:rPr>
            </w:pPr>
          </w:p>
        </w:tc>
        <w:tc>
          <w:tcPr>
            <w:tcW w:w="896" w:type="pct"/>
            <w:noWrap w:val="0"/>
            <w:vAlign w:val="center"/>
          </w:tcPr>
          <w:p w14:paraId="7BFAF613">
            <w:pPr>
              <w:snapToGrid w:val="0"/>
              <w:spacing w:line="240" w:lineRule="auto"/>
              <w:contextualSpacing/>
              <w:rPr>
                <w:rFonts w:hint="default" w:ascii="仿宋" w:hAnsi="仿宋" w:eastAsia="仿宋" w:cs="仿宋"/>
                <w:color w:val="auto"/>
                <w:spacing w:val="2"/>
                <w:sz w:val="32"/>
                <w:szCs w:val="32"/>
                <w:lang w:val="en-US" w:eastAsia="zh-CN"/>
              </w:rPr>
            </w:pPr>
          </w:p>
        </w:tc>
      </w:tr>
    </w:tbl>
    <w:p w14:paraId="0C144795">
      <w:pPr>
        <w:pStyle w:val="2"/>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jc w:val="center"/>
        <w:rPr>
          <w:rFonts w:hint="eastAsia" w:ascii="黑体" w:hAnsi="黑体" w:eastAsia="黑体" w:cs="黑体"/>
          <w:color w:val="auto"/>
          <w:sz w:val="36"/>
          <w:szCs w:val="44"/>
          <w:lang w:val="en-US" w:eastAsia="zh-CN"/>
        </w:rPr>
      </w:pPr>
      <w:r>
        <w:rPr>
          <w:rFonts w:hint="eastAsia" w:ascii="黑体" w:hAnsi="黑体" w:eastAsia="黑体" w:cs="黑体"/>
          <w:b/>
          <w:color w:val="auto"/>
          <w:sz w:val="36"/>
          <w:szCs w:val="36"/>
        </w:rPr>
        <w:t>第</w:t>
      </w:r>
      <w:r>
        <w:rPr>
          <w:rFonts w:hint="eastAsia" w:ascii="黑体" w:hAnsi="黑体" w:eastAsia="黑体" w:cs="黑体"/>
          <w:b/>
          <w:color w:val="auto"/>
          <w:sz w:val="36"/>
          <w:szCs w:val="36"/>
          <w:lang w:eastAsia="zh-CN"/>
        </w:rPr>
        <w:t>五</w:t>
      </w:r>
      <w:r>
        <w:rPr>
          <w:rFonts w:hint="eastAsia" w:ascii="黑体" w:hAnsi="黑体" w:eastAsia="黑体" w:cs="黑体"/>
          <w:b/>
          <w:color w:val="auto"/>
          <w:sz w:val="36"/>
          <w:szCs w:val="36"/>
        </w:rPr>
        <w:t xml:space="preserve">章  </w:t>
      </w:r>
      <w:r>
        <w:rPr>
          <w:rFonts w:hint="eastAsia" w:ascii="黑体" w:hAnsi="黑体" w:eastAsia="黑体" w:cs="黑体"/>
          <w:b/>
          <w:color w:val="auto"/>
          <w:sz w:val="36"/>
          <w:szCs w:val="36"/>
          <w:lang w:val="en-US" w:eastAsia="zh-CN"/>
        </w:rPr>
        <w:t>采购项目技术、服务及其他商务要求</w:t>
      </w:r>
    </w:p>
    <w:p w14:paraId="72D33233">
      <w:pPr>
        <w:pStyle w:val="2"/>
        <w:rPr>
          <w:rFonts w:hint="eastAsia" w:ascii="黑体" w:hAnsi="黑体" w:eastAsia="黑体" w:cs="黑体"/>
          <w:color w:val="auto"/>
          <w:lang w:val="en-US" w:eastAsia="zh-CN"/>
        </w:rPr>
      </w:pPr>
    </w:p>
    <w:p w14:paraId="2E758947">
      <w:pPr>
        <w:pStyle w:val="15"/>
        <w:numPr>
          <w:ilvl w:val="0"/>
          <w:numId w:val="0"/>
        </w:numPr>
        <w:spacing w:line="240" w:lineRule="auto"/>
        <w:ind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一、技术参数要求：</w:t>
      </w:r>
    </w:p>
    <w:tbl>
      <w:tblPr>
        <w:tblStyle w:val="16"/>
        <w:tblW w:w="520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8"/>
        <w:gridCol w:w="990"/>
        <w:gridCol w:w="1263"/>
        <w:gridCol w:w="1431"/>
        <w:gridCol w:w="5164"/>
      </w:tblGrid>
      <w:tr w14:paraId="52C4B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2" w:hRule="atLeast"/>
          <w:jc w:val="center"/>
        </w:trPr>
        <w:tc>
          <w:tcPr>
            <w:tcW w:w="587" w:type="pct"/>
            <w:tcBorders>
              <w:tl2br w:val="nil"/>
              <w:tr2bl w:val="nil"/>
            </w:tcBorders>
            <w:shd w:val="clear" w:color="auto" w:fill="auto"/>
            <w:noWrap/>
            <w:vAlign w:val="center"/>
          </w:tcPr>
          <w:p w14:paraId="4003110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品名</w:t>
            </w:r>
          </w:p>
        </w:tc>
        <w:tc>
          <w:tcPr>
            <w:tcW w:w="493" w:type="pct"/>
            <w:tcBorders>
              <w:tl2br w:val="nil"/>
              <w:tr2bl w:val="nil"/>
            </w:tcBorders>
            <w:shd w:val="clear" w:color="auto" w:fill="auto"/>
            <w:noWrap/>
            <w:vAlign w:val="center"/>
          </w:tcPr>
          <w:p w14:paraId="7C7D677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规格</w:t>
            </w:r>
          </w:p>
          <w:p w14:paraId="7A73B20B">
            <w:pPr>
              <w:pStyle w:val="2"/>
              <w:jc w:val="center"/>
              <w:rPr>
                <w:rFonts w:hint="default"/>
                <w:color w:val="auto"/>
                <w:lang w:val="en-US" w:eastAsia="zh-CN"/>
              </w:rPr>
            </w:pPr>
            <w:r>
              <w:rPr>
                <w:rFonts w:hint="eastAsia" w:ascii="仿宋" w:hAnsi="仿宋" w:eastAsia="仿宋" w:cs="仿宋"/>
                <w:b/>
                <w:bCs/>
                <w:i w:val="0"/>
                <w:iCs w:val="0"/>
                <w:color w:val="auto"/>
                <w:kern w:val="0"/>
                <w:sz w:val="24"/>
                <w:szCs w:val="24"/>
                <w:u w:val="none"/>
                <w:lang w:val="en-US" w:eastAsia="zh-CN" w:bidi="ar"/>
              </w:rPr>
              <w:t>型号</w:t>
            </w:r>
          </w:p>
        </w:tc>
        <w:tc>
          <w:tcPr>
            <w:tcW w:w="629" w:type="pct"/>
            <w:tcBorders>
              <w:tl2br w:val="nil"/>
              <w:tr2bl w:val="nil"/>
            </w:tcBorders>
            <w:shd w:val="clear" w:color="auto" w:fill="auto"/>
            <w:noWrap/>
            <w:vAlign w:val="center"/>
          </w:tcPr>
          <w:p w14:paraId="3337AD5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最高限价</w:t>
            </w:r>
          </w:p>
          <w:p w14:paraId="0B4947E5">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（元/支）</w:t>
            </w:r>
          </w:p>
        </w:tc>
        <w:tc>
          <w:tcPr>
            <w:tcW w:w="713" w:type="pct"/>
            <w:tcBorders>
              <w:tl2br w:val="nil"/>
              <w:tr2bl w:val="nil"/>
            </w:tcBorders>
            <w:shd w:val="clear" w:color="auto" w:fill="auto"/>
            <w:noWrap/>
            <w:vAlign w:val="center"/>
          </w:tcPr>
          <w:p w14:paraId="7956B128">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年拟采购量</w:t>
            </w:r>
          </w:p>
        </w:tc>
        <w:tc>
          <w:tcPr>
            <w:tcW w:w="2575" w:type="pct"/>
            <w:tcBorders>
              <w:tl2br w:val="nil"/>
              <w:tr2bl w:val="nil"/>
            </w:tcBorders>
            <w:shd w:val="clear" w:color="auto" w:fill="auto"/>
            <w:noWrap/>
            <w:vAlign w:val="center"/>
          </w:tcPr>
          <w:p w14:paraId="7B4F1EB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技术参数要求</w:t>
            </w:r>
          </w:p>
        </w:tc>
      </w:tr>
      <w:tr w14:paraId="521F09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7" w:hRule="atLeast"/>
          <w:jc w:val="center"/>
        </w:trPr>
        <w:tc>
          <w:tcPr>
            <w:tcW w:w="587" w:type="pct"/>
            <w:vMerge w:val="restart"/>
            <w:tcBorders>
              <w:tl2br w:val="nil"/>
              <w:tr2bl w:val="nil"/>
            </w:tcBorders>
            <w:shd w:val="clear" w:color="auto" w:fill="auto"/>
            <w:noWrap/>
            <w:vAlign w:val="center"/>
          </w:tcPr>
          <w:p w14:paraId="1236A0E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一次性使用袋式输液器</w:t>
            </w:r>
          </w:p>
          <w:p w14:paraId="282534E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（带针）</w:t>
            </w:r>
          </w:p>
        </w:tc>
        <w:tc>
          <w:tcPr>
            <w:tcW w:w="493" w:type="pct"/>
            <w:tcBorders>
              <w:tl2br w:val="nil"/>
              <w:tr2bl w:val="nil"/>
            </w:tcBorders>
            <w:shd w:val="clear" w:color="auto" w:fill="auto"/>
            <w:noWrap/>
            <w:vAlign w:val="center"/>
          </w:tcPr>
          <w:p w14:paraId="4510C63A">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sz w:val="24"/>
                <w:szCs w:val="24"/>
                <w:u w:val="none"/>
                <w:lang w:val="en-US" w:eastAsia="zh-CN"/>
              </w:rPr>
              <w:t>0.55#</w:t>
            </w:r>
          </w:p>
        </w:tc>
        <w:tc>
          <w:tcPr>
            <w:tcW w:w="629" w:type="pct"/>
            <w:tcBorders>
              <w:tl2br w:val="nil"/>
              <w:tr2bl w:val="nil"/>
            </w:tcBorders>
            <w:shd w:val="clear" w:color="auto" w:fill="auto"/>
            <w:noWrap/>
            <w:vAlign w:val="center"/>
          </w:tcPr>
          <w:p w14:paraId="7E21304D">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1.15</w:t>
            </w:r>
          </w:p>
        </w:tc>
        <w:tc>
          <w:tcPr>
            <w:tcW w:w="713" w:type="pct"/>
            <w:tcBorders>
              <w:tl2br w:val="nil"/>
              <w:tr2bl w:val="nil"/>
            </w:tcBorders>
            <w:shd w:val="clear" w:color="auto" w:fill="auto"/>
            <w:noWrap/>
            <w:vAlign w:val="center"/>
          </w:tcPr>
          <w:p w14:paraId="3908EB76">
            <w:pPr>
              <w:keepNext w:val="0"/>
              <w:keepLines w:val="0"/>
              <w:widowControl/>
              <w:suppressLineNumbers w:val="0"/>
              <w:jc w:val="center"/>
              <w:textAlignment w:val="center"/>
              <w:rPr>
                <w:rFonts w:hint="default"/>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w:t>
            </w:r>
          </w:p>
        </w:tc>
        <w:tc>
          <w:tcPr>
            <w:tcW w:w="2575" w:type="pct"/>
            <w:vMerge w:val="restart"/>
            <w:tcBorders>
              <w:tl2br w:val="nil"/>
              <w:tr2bl w:val="nil"/>
            </w:tcBorders>
            <w:shd w:val="clear" w:color="auto" w:fill="auto"/>
            <w:noWrap/>
            <w:vAlign w:val="center"/>
          </w:tcPr>
          <w:p w14:paraId="7E6F8A42">
            <w:pPr>
              <w:keepNext w:val="0"/>
              <w:keepLines w:val="0"/>
              <w:widowControl/>
              <w:suppressLineNumbers w:val="0"/>
              <w:jc w:val="left"/>
              <w:textAlignment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1.用于在临床治疗中对伤病患者静脉输送药液。用于重力式输液。</w:t>
            </w:r>
          </w:p>
          <w:p w14:paraId="39002D81">
            <w:pPr>
              <w:keepNext w:val="0"/>
              <w:keepLines w:val="0"/>
              <w:widowControl/>
              <w:suppressLineNumbers w:val="0"/>
              <w:jc w:val="left"/>
              <w:textAlignment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2.配置：由瓶塞穿刺器保护套、1 支瓶塞穿刺器、进气器件、滴斗、滴管、开关、软管、流量调节器、注射件、药液过滤器、外圆锥街头、静脉输液针组成。</w:t>
            </w:r>
          </w:p>
          <w:p w14:paraId="3CC713A1">
            <w:pPr>
              <w:keepNext w:val="0"/>
              <w:keepLines w:val="0"/>
              <w:widowControl/>
              <w:suppressLineNumbers w:val="0"/>
              <w:jc w:val="left"/>
              <w:textAlignment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3.产品经环氧乙烷灭菌，应无菌。</w:t>
            </w:r>
          </w:p>
          <w:p w14:paraId="21EAEDF5">
            <w:pPr>
              <w:keepNext w:val="0"/>
              <w:keepLines w:val="0"/>
              <w:widowControl/>
              <w:suppressLineNumbers w:val="0"/>
              <w:jc w:val="left"/>
              <w:textAlignment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4.热原：产品应无热原反应。</w:t>
            </w:r>
          </w:p>
          <w:p w14:paraId="74CBD11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val="0"/>
                <w:bCs w:val="0"/>
                <w:color w:val="auto"/>
                <w:kern w:val="0"/>
                <w:sz w:val="24"/>
                <w:szCs w:val="24"/>
                <w:lang w:val="en-US" w:eastAsia="zh-CN" w:bidi="ar-SA"/>
              </w:rPr>
              <w:t>5.输液针产品符合GB 18671-2009的要求。</w:t>
            </w:r>
          </w:p>
        </w:tc>
      </w:tr>
      <w:tr w14:paraId="068163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5" w:hRule="atLeast"/>
          <w:jc w:val="center"/>
        </w:trPr>
        <w:tc>
          <w:tcPr>
            <w:tcW w:w="587" w:type="pct"/>
            <w:vMerge w:val="continue"/>
            <w:tcBorders>
              <w:tl2br w:val="nil"/>
              <w:tr2bl w:val="nil"/>
            </w:tcBorders>
            <w:shd w:val="clear" w:color="auto" w:fill="auto"/>
            <w:noWrap/>
            <w:vAlign w:val="center"/>
          </w:tcPr>
          <w:p w14:paraId="3DC24566">
            <w:pPr>
              <w:rPr>
                <w:rFonts w:hint="eastAsia" w:ascii="仿宋" w:hAnsi="仿宋" w:eastAsia="仿宋" w:cs="仿宋"/>
                <w:i w:val="0"/>
                <w:iCs w:val="0"/>
                <w:color w:val="auto"/>
                <w:sz w:val="24"/>
                <w:szCs w:val="24"/>
                <w:u w:val="none"/>
              </w:rPr>
            </w:pPr>
          </w:p>
        </w:tc>
        <w:tc>
          <w:tcPr>
            <w:tcW w:w="493" w:type="pct"/>
            <w:tcBorders>
              <w:tl2br w:val="nil"/>
              <w:tr2bl w:val="nil"/>
            </w:tcBorders>
            <w:shd w:val="clear" w:color="auto" w:fill="auto"/>
            <w:noWrap/>
            <w:vAlign w:val="center"/>
          </w:tcPr>
          <w:p w14:paraId="799C04F3">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0.7#</w:t>
            </w:r>
          </w:p>
        </w:tc>
        <w:tc>
          <w:tcPr>
            <w:tcW w:w="629" w:type="pct"/>
            <w:tcBorders>
              <w:tl2br w:val="nil"/>
              <w:tr2bl w:val="nil"/>
            </w:tcBorders>
            <w:shd w:val="clear" w:color="auto" w:fill="auto"/>
            <w:noWrap/>
            <w:vAlign w:val="center"/>
          </w:tcPr>
          <w:p w14:paraId="6923C964">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1.15</w:t>
            </w:r>
          </w:p>
        </w:tc>
        <w:tc>
          <w:tcPr>
            <w:tcW w:w="713" w:type="pct"/>
            <w:tcBorders>
              <w:tl2br w:val="nil"/>
              <w:tr2bl w:val="nil"/>
            </w:tcBorders>
            <w:shd w:val="clear" w:color="auto" w:fill="auto"/>
            <w:noWrap/>
            <w:vAlign w:val="center"/>
          </w:tcPr>
          <w:p w14:paraId="51CEB48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98000</w:t>
            </w:r>
          </w:p>
        </w:tc>
        <w:tc>
          <w:tcPr>
            <w:tcW w:w="2575" w:type="pct"/>
            <w:vMerge w:val="continue"/>
            <w:tcBorders>
              <w:tl2br w:val="nil"/>
              <w:tr2bl w:val="nil"/>
            </w:tcBorders>
            <w:shd w:val="clear" w:color="auto" w:fill="auto"/>
            <w:noWrap/>
            <w:vAlign w:val="center"/>
          </w:tcPr>
          <w:p w14:paraId="1F61C64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p>
        </w:tc>
      </w:tr>
      <w:tr w14:paraId="441864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4" w:hRule="atLeast"/>
          <w:jc w:val="center"/>
        </w:trPr>
        <w:tc>
          <w:tcPr>
            <w:tcW w:w="587" w:type="pct"/>
            <w:vMerge w:val="continue"/>
            <w:tcBorders>
              <w:tl2br w:val="nil"/>
              <w:tr2bl w:val="nil"/>
            </w:tcBorders>
            <w:shd w:val="clear" w:color="auto" w:fill="auto"/>
            <w:noWrap/>
            <w:vAlign w:val="center"/>
          </w:tcPr>
          <w:p w14:paraId="4F54E70D">
            <w:pPr>
              <w:rPr>
                <w:rFonts w:hint="eastAsia" w:ascii="仿宋" w:hAnsi="仿宋" w:eastAsia="仿宋" w:cs="仿宋"/>
                <w:i w:val="0"/>
                <w:iCs w:val="0"/>
                <w:color w:val="auto"/>
                <w:sz w:val="24"/>
                <w:szCs w:val="24"/>
                <w:u w:val="none"/>
              </w:rPr>
            </w:pPr>
          </w:p>
        </w:tc>
        <w:tc>
          <w:tcPr>
            <w:tcW w:w="493" w:type="pct"/>
            <w:tcBorders>
              <w:tl2br w:val="nil"/>
              <w:tr2bl w:val="nil"/>
            </w:tcBorders>
            <w:shd w:val="clear" w:color="auto" w:fill="auto"/>
            <w:noWrap/>
            <w:vAlign w:val="center"/>
          </w:tcPr>
          <w:p w14:paraId="145C7C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0.9#</w:t>
            </w:r>
          </w:p>
        </w:tc>
        <w:tc>
          <w:tcPr>
            <w:tcW w:w="629" w:type="pct"/>
            <w:tcBorders>
              <w:tl2br w:val="nil"/>
              <w:tr2bl w:val="nil"/>
            </w:tcBorders>
            <w:shd w:val="clear" w:color="auto" w:fill="auto"/>
            <w:noWrap/>
            <w:vAlign w:val="center"/>
          </w:tcPr>
          <w:p w14:paraId="52DB6B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1.15</w:t>
            </w:r>
          </w:p>
        </w:tc>
        <w:tc>
          <w:tcPr>
            <w:tcW w:w="713" w:type="pct"/>
            <w:tcBorders>
              <w:tl2br w:val="nil"/>
              <w:tr2bl w:val="nil"/>
            </w:tcBorders>
            <w:shd w:val="clear" w:color="auto" w:fill="auto"/>
            <w:noWrap/>
            <w:vAlign w:val="center"/>
          </w:tcPr>
          <w:p w14:paraId="453AAA6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2575" w:type="pct"/>
            <w:vMerge w:val="continue"/>
            <w:tcBorders>
              <w:tl2br w:val="nil"/>
              <w:tr2bl w:val="nil"/>
            </w:tcBorders>
            <w:shd w:val="clear" w:color="auto" w:fill="auto"/>
            <w:noWrap/>
            <w:vAlign w:val="center"/>
          </w:tcPr>
          <w:p w14:paraId="29693B5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tc>
      </w:tr>
      <w:tr w14:paraId="1386C4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2" w:hRule="atLeast"/>
          <w:jc w:val="center"/>
        </w:trPr>
        <w:tc>
          <w:tcPr>
            <w:tcW w:w="587" w:type="pct"/>
            <w:vMerge w:val="restart"/>
            <w:tcBorders>
              <w:tl2br w:val="nil"/>
              <w:tr2bl w:val="nil"/>
            </w:tcBorders>
            <w:shd w:val="clear" w:color="auto" w:fill="auto"/>
            <w:noWrap/>
            <w:vAlign w:val="center"/>
          </w:tcPr>
          <w:p w14:paraId="6830190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p>
          <w:p w14:paraId="773217D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一次性使用输液器（带针）</w:t>
            </w:r>
          </w:p>
        </w:tc>
        <w:tc>
          <w:tcPr>
            <w:tcW w:w="493" w:type="pct"/>
            <w:tcBorders>
              <w:tl2br w:val="nil"/>
              <w:tr2bl w:val="nil"/>
            </w:tcBorders>
            <w:shd w:val="clear" w:color="auto" w:fill="auto"/>
            <w:noWrap/>
            <w:vAlign w:val="center"/>
          </w:tcPr>
          <w:p w14:paraId="2AD444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单插头</w:t>
            </w:r>
          </w:p>
          <w:p w14:paraId="68F2CA67">
            <w:pPr>
              <w:pStyle w:val="2"/>
              <w:jc w:val="center"/>
              <w:rPr>
                <w:rFonts w:hint="default"/>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0.7#</w:t>
            </w:r>
          </w:p>
        </w:tc>
        <w:tc>
          <w:tcPr>
            <w:tcW w:w="629" w:type="pct"/>
            <w:tcBorders>
              <w:tl2br w:val="nil"/>
              <w:tr2bl w:val="nil"/>
            </w:tcBorders>
            <w:shd w:val="clear" w:color="auto" w:fill="auto"/>
            <w:noWrap/>
            <w:vAlign w:val="center"/>
          </w:tcPr>
          <w:p w14:paraId="2BF04920">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0.72</w:t>
            </w:r>
          </w:p>
        </w:tc>
        <w:tc>
          <w:tcPr>
            <w:tcW w:w="713" w:type="pct"/>
            <w:tcBorders>
              <w:tl2br w:val="nil"/>
              <w:tr2bl w:val="nil"/>
            </w:tcBorders>
            <w:shd w:val="clear" w:color="auto" w:fill="auto"/>
            <w:noWrap/>
            <w:vAlign w:val="center"/>
          </w:tcPr>
          <w:p w14:paraId="2BD7CF6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52000</w:t>
            </w:r>
          </w:p>
        </w:tc>
        <w:tc>
          <w:tcPr>
            <w:tcW w:w="2575" w:type="pct"/>
            <w:vMerge w:val="restart"/>
            <w:tcBorders>
              <w:tl2br w:val="nil"/>
              <w:tr2bl w:val="nil"/>
            </w:tcBorders>
            <w:shd w:val="clear" w:color="auto" w:fill="auto"/>
            <w:noWrap/>
            <w:vAlign w:val="center"/>
          </w:tcPr>
          <w:p w14:paraId="386E95DA">
            <w:pPr>
              <w:keepNext w:val="0"/>
              <w:keepLines w:val="0"/>
              <w:widowControl/>
              <w:numPr>
                <w:ilvl w:val="0"/>
                <w:numId w:val="3"/>
              </w:numPr>
              <w:suppressLineNumbers w:val="0"/>
              <w:jc w:val="left"/>
              <w:textAlignment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本产品适用于人体静脉输液使用。</w:t>
            </w:r>
          </w:p>
          <w:p w14:paraId="6EEB7647">
            <w:pPr>
              <w:keepNext w:val="0"/>
              <w:keepLines w:val="0"/>
              <w:widowControl/>
              <w:numPr>
                <w:ilvl w:val="0"/>
                <w:numId w:val="3"/>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val="0"/>
                <w:bCs w:val="0"/>
                <w:color w:val="auto"/>
                <w:kern w:val="0"/>
                <w:sz w:val="24"/>
                <w:szCs w:val="24"/>
                <w:lang w:val="en-US" w:eastAsia="zh-CN" w:bidi="ar-SA"/>
              </w:rPr>
              <w:t>本产品由瓶塞穿刺器保护套、瓶塞穿刺器、空气过滤器、上导管、滴斗、软管、流量调节器、止液夹、药液过滤三通、滴管器、注射件(选配)三通(选配)、输液针针座、静脉输液针针管、输液针柄、静脉输液针护帽、粘接剂、润滑剂组成。</w:t>
            </w:r>
          </w:p>
          <w:p w14:paraId="5AD990FE">
            <w:pPr>
              <w:keepNext w:val="0"/>
              <w:keepLines w:val="0"/>
              <w:widowControl/>
              <w:numPr>
                <w:ilvl w:val="0"/>
                <w:numId w:val="3"/>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val="0"/>
                <w:bCs w:val="0"/>
                <w:color w:val="auto"/>
                <w:kern w:val="0"/>
                <w:sz w:val="24"/>
                <w:szCs w:val="24"/>
                <w:lang w:val="en-US" w:eastAsia="zh-CN" w:bidi="ar-SA"/>
              </w:rPr>
              <w:t>产品经环氧乙烷灭菌，应无菌。</w:t>
            </w:r>
          </w:p>
          <w:p w14:paraId="255067F8">
            <w:pPr>
              <w:keepNext w:val="0"/>
              <w:keepLines w:val="0"/>
              <w:widowControl/>
              <w:numPr>
                <w:ilvl w:val="0"/>
                <w:numId w:val="3"/>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val="0"/>
                <w:bCs w:val="0"/>
                <w:color w:val="auto"/>
                <w:kern w:val="0"/>
                <w:sz w:val="24"/>
                <w:szCs w:val="24"/>
                <w:lang w:val="en-US" w:eastAsia="zh-CN" w:bidi="ar-SA"/>
              </w:rPr>
              <w:t>热原：产品应无热原反应。</w:t>
            </w:r>
          </w:p>
          <w:p w14:paraId="77EEE133">
            <w:pPr>
              <w:keepNext w:val="0"/>
              <w:keepLines w:val="0"/>
              <w:widowControl/>
              <w:numPr>
                <w:ilvl w:val="0"/>
                <w:numId w:val="3"/>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val="0"/>
                <w:bCs w:val="0"/>
                <w:color w:val="auto"/>
                <w:kern w:val="0"/>
                <w:sz w:val="24"/>
                <w:szCs w:val="24"/>
                <w:lang w:val="en-US" w:eastAsia="zh-CN" w:bidi="ar-SA"/>
              </w:rPr>
              <w:t>输液针产品符合GB 18671-2009的要求。</w:t>
            </w:r>
          </w:p>
        </w:tc>
      </w:tr>
      <w:tr w14:paraId="05D15D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1" w:hRule="atLeast"/>
          <w:jc w:val="center"/>
        </w:trPr>
        <w:tc>
          <w:tcPr>
            <w:tcW w:w="587" w:type="pct"/>
            <w:vMerge w:val="continue"/>
            <w:tcBorders>
              <w:bottom w:val="double" w:color="auto" w:sz="4" w:space="0"/>
              <w:tl2br w:val="nil"/>
              <w:tr2bl w:val="nil"/>
            </w:tcBorders>
            <w:shd w:val="clear" w:color="auto" w:fill="auto"/>
            <w:noWrap/>
            <w:vAlign w:val="center"/>
          </w:tcPr>
          <w:p w14:paraId="1E65EE5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p>
        </w:tc>
        <w:tc>
          <w:tcPr>
            <w:tcW w:w="493" w:type="pct"/>
            <w:tcBorders>
              <w:bottom w:val="double" w:color="auto" w:sz="4" w:space="0"/>
              <w:tl2br w:val="nil"/>
              <w:tr2bl w:val="nil"/>
            </w:tcBorders>
            <w:shd w:val="clear" w:color="auto" w:fill="auto"/>
            <w:noWrap/>
            <w:vAlign w:val="center"/>
          </w:tcPr>
          <w:p w14:paraId="00861E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双插头</w:t>
            </w:r>
          </w:p>
          <w:p w14:paraId="23B4ABA7">
            <w:pPr>
              <w:pStyle w:val="2"/>
              <w:jc w:val="center"/>
              <w:rPr>
                <w:rFonts w:hint="default"/>
                <w:color w:val="auto"/>
                <w:lang w:val="en-US" w:eastAsia="zh-CN"/>
              </w:rPr>
            </w:pPr>
            <w:r>
              <w:rPr>
                <w:rFonts w:hint="eastAsia" w:ascii="仿宋" w:hAnsi="仿宋" w:eastAsia="仿宋" w:cs="仿宋"/>
                <w:i w:val="0"/>
                <w:iCs w:val="0"/>
                <w:color w:val="auto"/>
                <w:kern w:val="0"/>
                <w:sz w:val="24"/>
                <w:szCs w:val="24"/>
                <w:u w:val="none"/>
                <w:lang w:val="en-US" w:eastAsia="zh-CN" w:bidi="ar"/>
              </w:rPr>
              <w:t>0.7#</w:t>
            </w:r>
          </w:p>
        </w:tc>
        <w:tc>
          <w:tcPr>
            <w:tcW w:w="629" w:type="pct"/>
            <w:tcBorders>
              <w:bottom w:val="double" w:color="auto" w:sz="4" w:space="0"/>
              <w:tl2br w:val="nil"/>
              <w:tr2bl w:val="nil"/>
            </w:tcBorders>
            <w:shd w:val="clear" w:color="auto" w:fill="auto"/>
            <w:noWrap/>
            <w:vAlign w:val="center"/>
          </w:tcPr>
          <w:p w14:paraId="3E9BAC87">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1.18</w:t>
            </w:r>
          </w:p>
        </w:tc>
        <w:tc>
          <w:tcPr>
            <w:tcW w:w="713" w:type="pct"/>
            <w:tcBorders>
              <w:bottom w:val="double" w:color="auto" w:sz="4" w:space="0"/>
              <w:tl2br w:val="nil"/>
              <w:tr2bl w:val="nil"/>
            </w:tcBorders>
            <w:shd w:val="clear" w:color="auto" w:fill="auto"/>
            <w:noWrap/>
            <w:vAlign w:val="center"/>
          </w:tcPr>
          <w:p w14:paraId="77308A8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2575" w:type="pct"/>
            <w:vMerge w:val="continue"/>
            <w:tcBorders>
              <w:bottom w:val="double" w:color="auto" w:sz="4" w:space="0"/>
              <w:tl2br w:val="nil"/>
              <w:tr2bl w:val="nil"/>
            </w:tcBorders>
            <w:shd w:val="clear" w:color="auto" w:fill="auto"/>
            <w:noWrap/>
            <w:vAlign w:val="center"/>
          </w:tcPr>
          <w:p w14:paraId="7EB67FE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p>
        </w:tc>
      </w:tr>
      <w:tr w14:paraId="455B51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6" w:hRule="atLeast"/>
          <w:jc w:val="center"/>
        </w:trPr>
        <w:tc>
          <w:tcPr>
            <w:tcW w:w="5000" w:type="pct"/>
            <w:gridSpan w:val="5"/>
            <w:tcBorders>
              <w:top w:val="double" w:color="auto" w:sz="4" w:space="0"/>
            </w:tcBorders>
            <w:shd w:val="clear" w:color="auto" w:fill="auto"/>
            <w:noWrap/>
            <w:vAlign w:val="center"/>
          </w:tcPr>
          <w:p w14:paraId="55AAD318">
            <w:pPr>
              <w:keepNext w:val="0"/>
              <w:keepLines w:val="0"/>
              <w:widowControl/>
              <w:suppressLineNumbers w:val="0"/>
              <w:tabs>
                <w:tab w:val="left" w:pos="1544"/>
              </w:tabs>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备注：</w:t>
            </w:r>
          </w:p>
          <w:p w14:paraId="78DAD0B7">
            <w:pPr>
              <w:keepNext w:val="0"/>
              <w:keepLines w:val="0"/>
              <w:pageBreakBefore w:val="0"/>
              <w:widowControl/>
              <w:suppressLineNumbers w:val="0"/>
              <w:tabs>
                <w:tab w:val="left" w:pos="1544"/>
              </w:tabs>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1.供应商需提供0.7#一次性使用袋式输液器（带针）、单、双插头0.7#一次性使用输液器（带针）样品</w:t>
            </w:r>
            <w:r>
              <w:rPr>
                <w:rFonts w:hint="eastAsia" w:ascii="仿宋" w:hAnsi="仿宋" w:eastAsia="仿宋" w:cs="仿宋"/>
                <w:i w:val="0"/>
                <w:iCs w:val="0"/>
                <w:color w:val="auto"/>
                <w:kern w:val="0"/>
                <w:sz w:val="22"/>
                <w:szCs w:val="22"/>
                <w:u w:val="double"/>
                <w:lang w:val="en-US" w:eastAsia="zh-CN" w:bidi="ar"/>
              </w:rPr>
              <w:t>各3支</w:t>
            </w:r>
            <w:r>
              <w:rPr>
                <w:rFonts w:hint="eastAsia" w:ascii="仿宋" w:hAnsi="仿宋" w:eastAsia="仿宋" w:cs="仿宋"/>
                <w:i w:val="0"/>
                <w:iCs w:val="0"/>
                <w:color w:val="auto"/>
                <w:kern w:val="0"/>
                <w:sz w:val="22"/>
                <w:szCs w:val="22"/>
                <w:u w:val="none"/>
                <w:lang w:val="en-US" w:eastAsia="zh-CN" w:bidi="ar"/>
              </w:rPr>
              <w:t>。</w:t>
            </w:r>
          </w:p>
          <w:p w14:paraId="2FE873EF">
            <w:pPr>
              <w:keepNext w:val="0"/>
              <w:keepLines w:val="0"/>
              <w:pageBreakBefore w:val="0"/>
              <w:widowControl/>
              <w:suppressLineNumbers w:val="0"/>
              <w:tabs>
                <w:tab w:val="left" w:pos="1544"/>
              </w:tabs>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2.供应商需提供以上产品的注册证。</w:t>
            </w:r>
          </w:p>
          <w:p w14:paraId="3AAA8826">
            <w:pPr>
              <w:pStyle w:val="2"/>
              <w:keepNext w:val="0"/>
              <w:keepLines w:val="0"/>
              <w:pageBreakBefore w:val="0"/>
              <w:kinsoku/>
              <w:wordWrap/>
              <w:overflowPunct/>
              <w:topLinePunct w:val="0"/>
              <w:autoSpaceDE/>
              <w:autoSpaceDN/>
              <w:bidi w:val="0"/>
              <w:adjustRightInd/>
              <w:snapToGrid/>
              <w:spacing w:after="0" w:afterLines="0"/>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3.供应商需提供以上技术参数的佐证材料。</w:t>
            </w:r>
          </w:p>
          <w:p w14:paraId="333641CC">
            <w:pPr>
              <w:keepNext w:val="0"/>
              <w:keepLines w:val="0"/>
              <w:pageBreakBefore w:val="0"/>
              <w:kinsoku/>
              <w:wordWrap/>
              <w:overflowPunct/>
              <w:topLinePunct w:val="0"/>
              <w:autoSpaceDE/>
              <w:autoSpaceDN/>
              <w:bidi w:val="0"/>
              <w:adjustRightInd/>
              <w:snapToGrid/>
              <w:rPr>
                <w:rFonts w:hint="default"/>
                <w:color w:val="auto"/>
                <w:lang w:val="en-US" w:eastAsia="zh-CN"/>
              </w:rPr>
            </w:pPr>
            <w:r>
              <w:rPr>
                <w:rFonts w:hint="eastAsia" w:ascii="仿宋" w:hAnsi="仿宋" w:eastAsia="仿宋" w:cs="仿宋"/>
                <w:i w:val="0"/>
                <w:iCs w:val="0"/>
                <w:color w:val="auto"/>
                <w:kern w:val="0"/>
                <w:sz w:val="22"/>
                <w:szCs w:val="22"/>
                <w:u w:val="none"/>
                <w:lang w:val="en-US" w:eastAsia="zh-CN" w:bidi="ar"/>
              </w:rPr>
              <w:t>4.供应商需单独提供一份对0.7#一次性使用袋式输液器（带针）、0.7#单插头一次性使用输液器（带针）</w:t>
            </w:r>
            <w:r>
              <w:rPr>
                <w:rFonts w:hint="eastAsia" w:ascii="仿宋" w:hAnsi="仿宋" w:eastAsia="仿宋" w:cs="仿宋"/>
                <w:i w:val="0"/>
                <w:iCs w:val="0"/>
                <w:color w:val="auto"/>
                <w:kern w:val="0"/>
                <w:sz w:val="22"/>
                <w:szCs w:val="22"/>
                <w:u w:val="double"/>
                <w:lang w:val="en-US" w:eastAsia="zh-CN" w:bidi="ar"/>
              </w:rPr>
              <w:t>年拟采购量的报价</w:t>
            </w:r>
            <w:r>
              <w:rPr>
                <w:rFonts w:hint="eastAsia" w:ascii="仿宋" w:hAnsi="仿宋" w:eastAsia="仿宋" w:cs="仿宋"/>
                <w:i w:val="0"/>
                <w:iCs w:val="0"/>
                <w:color w:val="auto"/>
                <w:kern w:val="0"/>
                <w:sz w:val="22"/>
                <w:szCs w:val="22"/>
                <w:u w:val="none"/>
                <w:lang w:val="en-US" w:eastAsia="zh-CN" w:bidi="ar"/>
              </w:rPr>
              <w:t>。</w:t>
            </w:r>
          </w:p>
        </w:tc>
      </w:tr>
    </w:tbl>
    <w:p w14:paraId="05838A91">
      <w:pPr>
        <w:pStyle w:val="15"/>
        <w:numPr>
          <w:ilvl w:val="0"/>
          <w:numId w:val="0"/>
        </w:numPr>
        <w:spacing w:line="240" w:lineRule="auto"/>
        <w:ind w:leftChars="0"/>
        <w:rPr>
          <w:rFonts w:hint="default" w:ascii="仿宋" w:hAnsi="仿宋" w:eastAsia="仿宋" w:cs="仿宋"/>
          <w:color w:val="auto"/>
          <w:sz w:val="32"/>
          <w:szCs w:val="32"/>
          <w:lang w:val="en-US" w:eastAsia="zh-CN"/>
        </w:rPr>
      </w:pPr>
    </w:p>
    <w:p w14:paraId="675DE11C">
      <w:pPr>
        <w:pStyle w:val="15"/>
        <w:numPr>
          <w:ilvl w:val="0"/>
          <w:numId w:val="0"/>
        </w:numPr>
        <w:spacing w:line="240" w:lineRule="auto"/>
        <w:ind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二、商务要求：</w:t>
      </w:r>
    </w:p>
    <w:p w14:paraId="47CC3A40">
      <w:pPr>
        <w:pStyle w:val="15"/>
        <w:numPr>
          <w:ilvl w:val="0"/>
          <w:numId w:val="4"/>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响应时间：本项目医用耗材按实际需求进行供货，供应商应在院方提出采购计划后2个工作日内供货并送达</w:t>
      </w:r>
      <w:r>
        <w:rPr>
          <w:rFonts w:hint="eastAsia" w:ascii="仿宋" w:hAnsi="仿宋" w:eastAsia="仿宋" w:cs="仿宋"/>
          <w:color w:val="auto"/>
          <w:sz w:val="32"/>
          <w:szCs w:val="32"/>
          <w:lang w:val="en-US" w:eastAsia="zh-CN"/>
        </w:rPr>
        <w:t>。</w:t>
      </w:r>
    </w:p>
    <w:p w14:paraId="0F221727">
      <w:pPr>
        <w:pStyle w:val="15"/>
        <w:numPr>
          <w:ilvl w:val="0"/>
          <w:numId w:val="4"/>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服务要求：</w:t>
      </w:r>
    </w:p>
    <w:p w14:paraId="59C91F95">
      <w:pPr>
        <w:pStyle w:val="15"/>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医疗器械供应商须符合《医疗器械监督管理条例》要求并具有独立履行民事责任的主体资格、遵守国家法律法规，具有良好的信誉和诚实的商业道德、具有履行合同的能力</w:t>
      </w:r>
      <w:r>
        <w:rPr>
          <w:rFonts w:hint="eastAsia" w:ascii="仿宋" w:hAnsi="仿宋" w:eastAsia="仿宋" w:cs="仿宋"/>
          <w:color w:val="auto"/>
          <w:sz w:val="32"/>
          <w:szCs w:val="32"/>
          <w:lang w:val="en-US" w:eastAsia="zh-CN"/>
        </w:rPr>
        <w:t>。</w:t>
      </w:r>
    </w:p>
    <w:p w14:paraId="4B368254">
      <w:pPr>
        <w:pStyle w:val="15"/>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供应商成交价低于挂网价，按成交价格进行挂网。合同履行过程中，采购价格不得高于四川省药械集中采购及医药价格监管平台我省最高参考价、联动参考价、截止上月末全省医疗机构采购加权平均价，更不能出现红区价。若供应商不接受供货过程中采购价格随当月监管平台挂网价进行调整，采购人有权无条件终止合同。（供应商须提供相关承诺函原件，格式自拟）</w:t>
      </w:r>
    </w:p>
    <w:p w14:paraId="217E82BC">
      <w:pPr>
        <w:pStyle w:val="15"/>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配送的产品名称、规格、包装、组成成分等须与卫生行政部门公布的挂网信息完全一致。</w:t>
      </w:r>
    </w:p>
    <w:p w14:paraId="0A0EAB66">
      <w:pPr>
        <w:pStyle w:val="15"/>
        <w:numPr>
          <w:ilvl w:val="0"/>
          <w:numId w:val="4"/>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付款方式：本次采购耗材为平台挂网耗材，按医保局要求进行付款。</w:t>
      </w:r>
    </w:p>
    <w:p w14:paraId="6BAB8173">
      <w:pPr>
        <w:pStyle w:val="15"/>
        <w:numPr>
          <w:ilvl w:val="0"/>
          <w:numId w:val="4"/>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质量要求：供应商提供的医疗器械须符合《医疗器械注册管理办法》要求。</w:t>
      </w:r>
    </w:p>
    <w:p w14:paraId="2EE8AF2A">
      <w:pPr>
        <w:pStyle w:val="15"/>
        <w:numPr>
          <w:ilvl w:val="0"/>
          <w:numId w:val="4"/>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0"/>
          <w:szCs w:val="30"/>
          <w:lang w:val="en-US" w:eastAsia="zh-CN"/>
        </w:rPr>
        <w:t>中标供应商签订采购合同前需提供</w:t>
      </w:r>
      <w:r>
        <w:rPr>
          <w:rFonts w:hint="eastAsia" w:ascii="仿宋_GB2312" w:hAnsi="仿宋_GB2312" w:eastAsia="仿宋_GB2312" w:cs="仿宋_GB2312"/>
          <w:color w:val="auto"/>
          <w:sz w:val="30"/>
          <w:szCs w:val="30"/>
        </w:rPr>
        <w:t>相关耗材生产厂家授权销售资料</w:t>
      </w:r>
      <w:r>
        <w:rPr>
          <w:rFonts w:hint="eastAsia" w:ascii="仿宋_GB2312" w:hAnsi="仿宋_GB2312" w:eastAsia="仿宋_GB2312" w:cs="仿宋_GB2312"/>
          <w:color w:val="auto"/>
          <w:sz w:val="30"/>
          <w:szCs w:val="30"/>
          <w:lang w:eastAsia="zh-CN"/>
        </w:rPr>
        <w:t>。</w:t>
      </w:r>
    </w:p>
    <w:p w14:paraId="102DC8F1">
      <w:pPr>
        <w:pStyle w:val="15"/>
        <w:numPr>
          <w:ilvl w:val="0"/>
          <w:numId w:val="4"/>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341BBA68">
      <w:pPr>
        <w:rPr>
          <w:rFonts w:hint="eastAsia" w:ascii="黑体" w:hAnsi="黑体" w:eastAsia="黑体" w:cs="黑体"/>
          <w:color w:val="auto"/>
          <w:lang w:eastAsia="zh-CN"/>
        </w:rPr>
      </w:pPr>
    </w:p>
    <w:p w14:paraId="45896D3B">
      <w:pPr>
        <w:pStyle w:val="4"/>
        <w:rPr>
          <w:rFonts w:hint="eastAsia" w:ascii="黑体" w:hAnsi="黑体" w:eastAsia="黑体" w:cs="黑体"/>
          <w:color w:val="auto"/>
          <w:lang w:eastAsia="zh-CN"/>
        </w:rPr>
      </w:pPr>
    </w:p>
    <w:p w14:paraId="1FED6F53">
      <w:pPr>
        <w:rPr>
          <w:rFonts w:hint="eastAsia" w:ascii="黑体" w:hAnsi="黑体" w:eastAsia="黑体" w:cs="黑体"/>
          <w:color w:val="auto"/>
          <w:lang w:eastAsia="zh-CN"/>
        </w:rPr>
      </w:pPr>
      <w:r>
        <w:rPr>
          <w:rFonts w:hint="eastAsia" w:ascii="黑体" w:hAnsi="黑体" w:eastAsia="黑体" w:cs="黑体"/>
          <w:color w:val="auto"/>
          <w:lang w:eastAsia="zh-CN"/>
        </w:rPr>
        <w:br w:type="page"/>
      </w:r>
    </w:p>
    <w:p w14:paraId="4C773619">
      <w:pPr>
        <w:pStyle w:val="15"/>
        <w:rPr>
          <w:rFonts w:hint="eastAsia" w:ascii="黑体" w:hAnsi="黑体" w:eastAsia="黑体" w:cs="黑体"/>
          <w:color w:val="auto"/>
          <w:lang w:eastAsia="zh-CN"/>
        </w:rPr>
      </w:pPr>
    </w:p>
    <w:p w14:paraId="5335AE7A">
      <w:pPr>
        <w:pStyle w:val="2"/>
        <w:rPr>
          <w:rFonts w:hint="eastAsia" w:ascii="黑体" w:hAnsi="黑体" w:eastAsia="黑体" w:cs="黑体"/>
          <w:color w:val="auto"/>
          <w:lang w:eastAsia="zh-CN"/>
        </w:rPr>
      </w:pPr>
      <w:r>
        <w:rPr>
          <w:rFonts w:hint="eastAsia" w:ascii="黑体" w:hAnsi="黑体" w:eastAsia="黑体" w:cs="黑体"/>
          <w:color w:val="auto"/>
          <w:sz w:val="32"/>
          <w:szCs w:val="40"/>
          <w:lang w:eastAsia="zh-CN"/>
        </w:rPr>
        <w:t>评分标准</w:t>
      </w:r>
      <w:r>
        <w:rPr>
          <w:rFonts w:hint="eastAsia" w:ascii="黑体" w:hAnsi="黑体" w:eastAsia="黑体" w:cs="黑体"/>
          <w:color w:val="auto"/>
          <w:lang w:eastAsia="zh-CN"/>
        </w:rPr>
        <w:t>：</w:t>
      </w:r>
    </w:p>
    <w:tbl>
      <w:tblPr>
        <w:tblStyle w:val="16"/>
        <w:tblW w:w="9158" w:type="dxa"/>
        <w:jc w:val="center"/>
        <w:tblLayout w:type="fixed"/>
        <w:tblCellMar>
          <w:top w:w="0" w:type="dxa"/>
          <w:left w:w="108" w:type="dxa"/>
          <w:bottom w:w="0" w:type="dxa"/>
          <w:right w:w="108" w:type="dxa"/>
        </w:tblCellMar>
      </w:tblPr>
      <w:tblGrid>
        <w:gridCol w:w="532"/>
        <w:gridCol w:w="1046"/>
        <w:gridCol w:w="685"/>
        <w:gridCol w:w="5988"/>
        <w:gridCol w:w="907"/>
      </w:tblGrid>
      <w:tr w14:paraId="1752BA00">
        <w:tblPrEx>
          <w:tblCellMar>
            <w:top w:w="0" w:type="dxa"/>
            <w:left w:w="108" w:type="dxa"/>
            <w:bottom w:w="0" w:type="dxa"/>
            <w:right w:w="108" w:type="dxa"/>
          </w:tblCellMar>
        </w:tblPrEx>
        <w:trPr>
          <w:cantSplit/>
          <w:trHeight w:val="1475"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14:paraId="11CB749E">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序号</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61DA18C5">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评分因素</w:t>
            </w:r>
          </w:p>
          <w:p w14:paraId="14F97A5D">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及权重</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5158D33D">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分值</w:t>
            </w:r>
          </w:p>
        </w:tc>
        <w:tc>
          <w:tcPr>
            <w:tcW w:w="5988" w:type="dxa"/>
            <w:tcBorders>
              <w:top w:val="single" w:color="000000" w:sz="4" w:space="0"/>
              <w:left w:val="single" w:color="000000" w:sz="4" w:space="0"/>
              <w:bottom w:val="single" w:color="000000" w:sz="4" w:space="0"/>
              <w:right w:val="single" w:color="000000" w:sz="4" w:space="0"/>
            </w:tcBorders>
            <w:noWrap/>
            <w:vAlign w:val="center"/>
          </w:tcPr>
          <w:p w14:paraId="49E397B3">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评分标准</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4C02B6C0">
            <w:pPr>
              <w:widowControl/>
              <w:spacing w:line="320" w:lineRule="atLeast"/>
              <w:jc w:val="center"/>
              <w:rPr>
                <w:rFonts w:hint="eastAsia" w:ascii="仿宋" w:hAnsi="仿宋" w:eastAsia="仿宋" w:cs="仿宋"/>
                <w:b/>
                <w:color w:val="auto"/>
                <w:kern w:val="1"/>
                <w:sz w:val="32"/>
                <w:szCs w:val="32"/>
              </w:rPr>
            </w:pPr>
            <w:r>
              <w:rPr>
                <w:rFonts w:hint="eastAsia" w:ascii="仿宋" w:hAnsi="仿宋" w:eastAsia="仿宋" w:cs="仿宋"/>
                <w:b/>
                <w:color w:val="auto"/>
                <w:kern w:val="1"/>
                <w:sz w:val="32"/>
                <w:szCs w:val="32"/>
              </w:rPr>
              <w:t>说 明</w:t>
            </w:r>
          </w:p>
        </w:tc>
      </w:tr>
      <w:tr w14:paraId="462CFE23">
        <w:tblPrEx>
          <w:tblCellMar>
            <w:top w:w="0" w:type="dxa"/>
            <w:left w:w="108" w:type="dxa"/>
            <w:bottom w:w="0" w:type="dxa"/>
            <w:right w:w="108" w:type="dxa"/>
          </w:tblCellMar>
        </w:tblPrEx>
        <w:trPr>
          <w:trHeight w:val="2502"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14:paraId="1A791FDC">
            <w:pPr>
              <w:spacing w:line="320" w:lineRule="atLeast"/>
              <w:jc w:val="center"/>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3681FC9">
            <w:pPr>
              <w:spacing w:line="320" w:lineRule="atLeast"/>
              <w:jc w:val="left"/>
              <w:rPr>
                <w:rFonts w:hint="eastAsia" w:ascii="仿宋" w:hAnsi="仿宋" w:eastAsia="仿宋" w:cs="仿宋"/>
                <w:color w:val="auto"/>
                <w:kern w:val="1"/>
                <w:sz w:val="30"/>
                <w:szCs w:val="30"/>
              </w:rPr>
            </w:pPr>
            <w:r>
              <w:rPr>
                <w:rFonts w:hint="eastAsia" w:ascii="仿宋" w:hAnsi="仿宋" w:eastAsia="仿宋" w:cs="仿宋"/>
                <w:color w:val="auto"/>
                <w:kern w:val="1"/>
                <w:sz w:val="30"/>
                <w:szCs w:val="30"/>
              </w:rPr>
              <w:t>报价</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6F8E84A1">
            <w:pPr>
              <w:rPr>
                <w:rFonts w:hint="eastAsia" w:ascii="仿宋" w:hAnsi="仿宋" w:eastAsia="仿宋" w:cs="仿宋"/>
                <w:color w:val="auto"/>
                <w:kern w:val="1"/>
                <w:sz w:val="30"/>
                <w:szCs w:val="30"/>
                <w:lang w:val="en-US" w:eastAsia="zh-CN"/>
              </w:rPr>
            </w:pPr>
            <w:r>
              <w:rPr>
                <w:rFonts w:hint="eastAsia" w:ascii="仿宋" w:hAnsi="仿宋" w:eastAsia="仿宋" w:cs="仿宋"/>
                <w:color w:val="auto"/>
                <w:kern w:val="1"/>
                <w:sz w:val="30"/>
                <w:szCs w:val="30"/>
                <w:lang w:val="en-US" w:eastAsia="zh-CN"/>
              </w:rPr>
              <w:t>20</w:t>
            </w:r>
          </w:p>
        </w:tc>
        <w:tc>
          <w:tcPr>
            <w:tcW w:w="5988" w:type="dxa"/>
            <w:tcBorders>
              <w:top w:val="single" w:color="000000" w:sz="4" w:space="0"/>
              <w:left w:val="single" w:color="000000" w:sz="4" w:space="0"/>
              <w:bottom w:val="single" w:color="000000" w:sz="4" w:space="0"/>
              <w:right w:val="single" w:color="000000" w:sz="4" w:space="0"/>
            </w:tcBorders>
            <w:noWrap/>
            <w:vAlign w:val="center"/>
          </w:tcPr>
          <w:p w14:paraId="0E00C760">
            <w:pPr>
              <w:numPr>
                <w:ilvl w:val="0"/>
                <w:numId w:val="0"/>
              </w:numP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以0.7#</w:t>
            </w:r>
            <w:r>
              <w:rPr>
                <w:rFonts w:hint="eastAsia" w:ascii="仿宋" w:hAnsi="仿宋" w:eastAsia="仿宋" w:cs="仿宋"/>
                <w:i w:val="0"/>
                <w:iCs w:val="0"/>
                <w:color w:val="auto"/>
                <w:kern w:val="0"/>
                <w:sz w:val="24"/>
                <w:szCs w:val="24"/>
                <w:u w:val="none"/>
                <w:lang w:val="en-US" w:eastAsia="zh-CN" w:bidi="ar"/>
              </w:rPr>
              <w:t>一次性使用袋式输液器（带针）</w:t>
            </w:r>
            <w:r>
              <w:rPr>
                <w:rFonts w:hint="eastAsia" w:ascii="仿宋" w:hAnsi="仿宋" w:eastAsia="仿宋" w:cs="仿宋"/>
                <w:color w:val="auto"/>
                <w:kern w:val="2"/>
                <w:sz w:val="24"/>
                <w:szCs w:val="24"/>
                <w:lang w:val="en-US" w:eastAsia="zh-CN"/>
              </w:rPr>
              <w:t>、0.7#单插头一次性输液器（带针）的年拟采购量报价进行评分。满足招标文件要求且投标价格最低的投标报价为评标基准价，其价格分为满分。其他供应商的价格分统一按照下列公式计算：投标报价得分=(评标基准价÷投标报价)×20%×100；（最低价基准法）</w:t>
            </w:r>
          </w:p>
          <w:p w14:paraId="2525B7A8">
            <w:pPr>
              <w:rPr>
                <w:rFonts w:hint="eastAsia" w:ascii="仿宋" w:hAnsi="仿宋" w:eastAsia="仿宋" w:cs="仿宋"/>
                <w:color w:val="auto"/>
                <w:kern w:val="1"/>
                <w:sz w:val="32"/>
                <w:szCs w:val="32"/>
                <w:lang w:val="en-US" w:eastAsia="zh-CN"/>
              </w:rPr>
            </w:pP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5A2DA58E">
            <w:pPr>
              <w:spacing w:line="320" w:lineRule="atLeast"/>
              <w:jc w:val="center"/>
              <w:rPr>
                <w:rFonts w:hint="eastAsia" w:ascii="仿宋" w:hAnsi="仿宋" w:eastAsia="仿宋" w:cs="仿宋"/>
                <w:color w:val="auto"/>
                <w:sz w:val="32"/>
                <w:szCs w:val="32"/>
              </w:rPr>
            </w:pPr>
            <w:r>
              <w:rPr>
                <w:rFonts w:hint="eastAsia" w:ascii="仿宋" w:hAnsi="仿宋" w:eastAsia="仿宋" w:cs="仿宋"/>
                <w:color w:val="auto"/>
                <w:sz w:val="30"/>
                <w:szCs w:val="30"/>
              </w:rPr>
              <w:t>共同评审因素</w:t>
            </w:r>
          </w:p>
        </w:tc>
      </w:tr>
      <w:tr w14:paraId="795ECE3E">
        <w:tblPrEx>
          <w:tblCellMar>
            <w:top w:w="0" w:type="dxa"/>
            <w:left w:w="108" w:type="dxa"/>
            <w:bottom w:w="0" w:type="dxa"/>
            <w:right w:w="108" w:type="dxa"/>
          </w:tblCellMar>
        </w:tblPrEx>
        <w:trPr>
          <w:trHeight w:val="3068"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14:paraId="48A007B6">
            <w:pPr>
              <w:spacing w:line="320" w:lineRule="atLeast"/>
              <w:jc w:val="center"/>
              <w:rPr>
                <w:rFonts w:hint="eastAsia" w:ascii="仿宋" w:hAnsi="仿宋" w:eastAsia="仿宋" w:cs="仿宋"/>
                <w:color w:val="auto"/>
                <w:kern w:val="1"/>
                <w:sz w:val="32"/>
                <w:szCs w:val="32"/>
                <w:lang w:val="en-US" w:eastAsia="zh-CN"/>
              </w:rPr>
            </w:pPr>
            <w:r>
              <w:rPr>
                <w:rFonts w:hint="eastAsia" w:ascii="仿宋" w:hAnsi="仿宋" w:eastAsia="仿宋" w:cs="仿宋"/>
                <w:color w:val="auto"/>
                <w:kern w:val="1"/>
                <w:sz w:val="32"/>
                <w:szCs w:val="32"/>
                <w:lang w:val="en-US" w:eastAsia="zh-CN"/>
              </w:rPr>
              <w:t>2</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0DC8546">
            <w:pPr>
              <w:spacing w:line="320" w:lineRule="atLeast"/>
              <w:jc w:val="left"/>
              <w:rPr>
                <w:rFonts w:hint="eastAsia" w:ascii="仿宋" w:hAnsi="仿宋" w:eastAsia="仿宋" w:cs="仿宋"/>
                <w:color w:val="auto"/>
                <w:kern w:val="1"/>
                <w:sz w:val="30"/>
                <w:szCs w:val="30"/>
                <w:lang w:val="en-US" w:eastAsia="zh-CN"/>
              </w:rPr>
            </w:pPr>
            <w:r>
              <w:rPr>
                <w:rFonts w:hint="eastAsia" w:ascii="仿宋" w:hAnsi="仿宋" w:eastAsia="仿宋" w:cs="仿宋"/>
                <w:color w:val="auto"/>
                <w:kern w:val="1"/>
                <w:sz w:val="30"/>
                <w:szCs w:val="30"/>
                <w:lang w:val="en-US" w:eastAsia="zh-CN"/>
              </w:rPr>
              <w:t>样品评价</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1DD5E2C6">
            <w:pPr>
              <w:spacing w:line="320" w:lineRule="atLeast"/>
              <w:jc w:val="both"/>
              <w:rPr>
                <w:rFonts w:hint="eastAsia" w:ascii="仿宋" w:hAnsi="仿宋" w:eastAsia="仿宋" w:cs="仿宋"/>
                <w:color w:val="auto"/>
                <w:kern w:val="1"/>
                <w:sz w:val="30"/>
                <w:szCs w:val="30"/>
                <w:lang w:val="en-US" w:eastAsia="zh-CN"/>
              </w:rPr>
            </w:pPr>
            <w:r>
              <w:rPr>
                <w:rFonts w:hint="eastAsia" w:ascii="仿宋" w:hAnsi="仿宋" w:eastAsia="仿宋" w:cs="仿宋"/>
                <w:color w:val="auto"/>
                <w:kern w:val="1"/>
                <w:sz w:val="30"/>
                <w:szCs w:val="30"/>
                <w:lang w:val="en-US" w:eastAsia="zh-CN"/>
              </w:rPr>
              <w:t>30</w:t>
            </w:r>
          </w:p>
        </w:tc>
        <w:tc>
          <w:tcPr>
            <w:tcW w:w="5988" w:type="dxa"/>
            <w:tcBorders>
              <w:top w:val="single" w:color="000000" w:sz="4" w:space="0"/>
              <w:left w:val="single" w:color="000000" w:sz="4" w:space="0"/>
              <w:bottom w:val="single" w:color="000000" w:sz="4" w:space="0"/>
              <w:right w:val="single" w:color="000000" w:sz="4" w:space="0"/>
            </w:tcBorders>
            <w:noWrap/>
            <w:vAlign w:val="center"/>
          </w:tcPr>
          <w:p w14:paraId="4788A482">
            <w:pPr>
              <w:numPr>
                <w:ilvl w:val="0"/>
                <w:numId w:val="0"/>
              </w:numP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根据投标人所提供的样品进行评审：</w:t>
            </w:r>
          </w:p>
          <w:p w14:paraId="3A4284E1">
            <w:pPr>
              <w:numPr>
                <w:ilvl w:val="0"/>
                <w:numId w:val="0"/>
              </w:numPr>
              <w:rPr>
                <w:rFonts w:hint="eastAsia" w:ascii="仿宋" w:hAnsi="仿宋" w:eastAsia="仿宋" w:cs="仿宋"/>
                <w:color w:val="auto"/>
                <w:kern w:val="2"/>
                <w:sz w:val="24"/>
                <w:szCs w:val="24"/>
                <w:lang w:val="en-US" w:eastAsia="en-US"/>
              </w:rPr>
            </w:pPr>
            <w:r>
              <w:rPr>
                <w:rFonts w:hint="eastAsia" w:ascii="仿宋" w:hAnsi="仿宋" w:eastAsia="仿宋" w:cs="仿宋"/>
                <w:color w:val="auto"/>
                <w:kern w:val="2"/>
                <w:sz w:val="24"/>
                <w:szCs w:val="24"/>
                <w:lang w:val="en-US" w:eastAsia="en-US"/>
              </w:rPr>
              <w:t>①</w:t>
            </w:r>
            <w:r>
              <w:rPr>
                <w:rFonts w:hint="eastAsia" w:ascii="仿宋" w:hAnsi="仿宋" w:eastAsia="仿宋" w:cs="仿宋"/>
                <w:color w:val="auto"/>
                <w:kern w:val="2"/>
                <w:sz w:val="24"/>
                <w:szCs w:val="24"/>
                <w:lang w:val="en-US" w:eastAsia="zh-CN"/>
              </w:rPr>
              <w:t>外包装清洁整齐，密闭完好无破损；</w:t>
            </w:r>
          </w:p>
          <w:p w14:paraId="4E77B571">
            <w:pPr>
              <w:numPr>
                <w:ilvl w:val="0"/>
                <w:numId w:val="0"/>
              </w:numP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en-US"/>
              </w:rPr>
              <w:t>②</w:t>
            </w:r>
            <w:r>
              <w:rPr>
                <w:rFonts w:hint="eastAsia" w:ascii="仿宋" w:hAnsi="仿宋" w:eastAsia="仿宋" w:cs="仿宋"/>
                <w:color w:val="auto"/>
                <w:kern w:val="2"/>
                <w:sz w:val="24"/>
                <w:szCs w:val="24"/>
                <w:lang w:val="en-US" w:eastAsia="zh-CN"/>
              </w:rPr>
              <w:t>产品透明无黑点，无异物、无异色等；</w:t>
            </w:r>
          </w:p>
          <w:p w14:paraId="765768C3">
            <w:pPr>
              <w:numPr>
                <w:ilvl w:val="0"/>
                <w:numId w:val="0"/>
              </w:numP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en-US"/>
              </w:rPr>
              <w:t>③</w:t>
            </w:r>
            <w:r>
              <w:rPr>
                <w:rFonts w:hint="eastAsia" w:ascii="仿宋" w:hAnsi="仿宋" w:eastAsia="仿宋" w:cs="仿宋"/>
                <w:color w:val="auto"/>
                <w:kern w:val="2"/>
                <w:sz w:val="24"/>
                <w:szCs w:val="24"/>
                <w:lang w:val="en-US" w:eastAsia="zh-CN"/>
              </w:rPr>
              <w:t>产品结构合理，各部件连接牢固；</w:t>
            </w:r>
          </w:p>
          <w:p w14:paraId="0EF5CC91">
            <w:pPr>
              <w:numPr>
                <w:ilvl w:val="0"/>
                <w:numId w:val="0"/>
              </w:numP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④输液器插头柔韧尖锐，无毛刺无倒勾；</w:t>
            </w:r>
          </w:p>
          <w:p w14:paraId="199A00F5">
            <w:pPr>
              <w:numPr>
                <w:ilvl w:val="0"/>
                <w:numId w:val="0"/>
              </w:numP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fldChar w:fldCharType="begin"/>
            </w:r>
            <w:r>
              <w:rPr>
                <w:rFonts w:hint="eastAsia" w:ascii="仿宋" w:hAnsi="仿宋" w:eastAsia="仿宋" w:cs="仿宋"/>
                <w:color w:val="auto"/>
                <w:kern w:val="2"/>
                <w:sz w:val="24"/>
                <w:szCs w:val="24"/>
                <w:lang w:val="en-US" w:eastAsia="zh-CN"/>
              </w:rPr>
              <w:instrText xml:space="preserve"> = 5 \* GB3 \* MERGEFORMAT </w:instrText>
            </w:r>
            <w:r>
              <w:rPr>
                <w:rFonts w:hint="eastAsia" w:ascii="仿宋" w:hAnsi="仿宋" w:eastAsia="仿宋" w:cs="仿宋"/>
                <w:color w:val="auto"/>
                <w:kern w:val="2"/>
                <w:sz w:val="24"/>
                <w:szCs w:val="24"/>
                <w:lang w:val="en-US" w:eastAsia="zh-CN"/>
              </w:rPr>
              <w:fldChar w:fldCharType="separate"/>
            </w:r>
            <w:r>
              <w:rPr>
                <w:rFonts w:hint="eastAsia" w:ascii="仿宋" w:hAnsi="仿宋" w:eastAsia="仿宋" w:cs="仿宋"/>
                <w:color w:val="auto"/>
                <w:kern w:val="2"/>
                <w:sz w:val="24"/>
                <w:szCs w:val="24"/>
                <w:lang w:val="en-US" w:eastAsia="en-US"/>
              </w:rPr>
              <w:t>⑤</w:t>
            </w:r>
            <w:r>
              <w:rPr>
                <w:rFonts w:hint="eastAsia" w:ascii="仿宋" w:hAnsi="仿宋" w:eastAsia="仿宋" w:cs="仿宋"/>
                <w:color w:val="auto"/>
                <w:kern w:val="2"/>
                <w:sz w:val="24"/>
                <w:szCs w:val="24"/>
                <w:lang w:val="en-US" w:eastAsia="zh-CN"/>
              </w:rPr>
              <w:fldChar w:fldCharType="end"/>
            </w:r>
            <w:r>
              <w:rPr>
                <w:rFonts w:hint="eastAsia" w:ascii="仿宋" w:hAnsi="仿宋" w:eastAsia="仿宋" w:cs="仿宋"/>
                <w:color w:val="auto"/>
                <w:kern w:val="2"/>
                <w:sz w:val="24"/>
                <w:szCs w:val="24"/>
                <w:lang w:val="en-US" w:eastAsia="zh-CN"/>
              </w:rPr>
              <w:t>工艺制作精良。</w:t>
            </w:r>
          </w:p>
          <w:p w14:paraId="5B941ABE">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kern w:val="2"/>
                <w:sz w:val="24"/>
                <w:szCs w:val="24"/>
                <w:lang w:val="en-US" w:eastAsia="zh-CN"/>
              </w:rPr>
              <w:t>每项样品符合技术参数要求且完全满足样品具体评审要求的得30分；样品中每有一点不满足样品具体评审要求的扣6分，扣完为止。</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6926BAF0">
            <w:pPr>
              <w:spacing w:line="320" w:lineRule="atLeast"/>
              <w:jc w:val="center"/>
              <w:rPr>
                <w:rFonts w:hint="eastAsia" w:ascii="仿宋" w:hAnsi="仿宋" w:eastAsia="仿宋" w:cs="仿宋"/>
                <w:color w:val="auto"/>
                <w:sz w:val="32"/>
                <w:szCs w:val="32"/>
              </w:rPr>
            </w:pPr>
          </w:p>
        </w:tc>
      </w:tr>
      <w:tr w14:paraId="2450A3CA">
        <w:tblPrEx>
          <w:tblCellMar>
            <w:top w:w="0" w:type="dxa"/>
            <w:left w:w="108" w:type="dxa"/>
            <w:bottom w:w="0" w:type="dxa"/>
            <w:right w:w="108" w:type="dxa"/>
          </w:tblCellMar>
        </w:tblPrEx>
        <w:trPr>
          <w:trHeight w:val="2134"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14:paraId="0F2DE14F">
            <w:pPr>
              <w:spacing w:line="320" w:lineRule="atLeast"/>
              <w:jc w:val="center"/>
              <w:rPr>
                <w:rFonts w:hint="eastAsia" w:ascii="仿宋" w:hAnsi="仿宋" w:eastAsia="仿宋" w:cs="仿宋"/>
                <w:color w:val="auto"/>
                <w:kern w:val="1"/>
                <w:sz w:val="32"/>
                <w:szCs w:val="32"/>
                <w:lang w:val="en-US" w:eastAsia="zh-CN"/>
              </w:rPr>
            </w:pPr>
            <w:r>
              <w:rPr>
                <w:rFonts w:hint="eastAsia" w:ascii="仿宋" w:hAnsi="仿宋" w:eastAsia="仿宋" w:cs="仿宋"/>
                <w:color w:val="auto"/>
                <w:kern w:val="1"/>
                <w:sz w:val="32"/>
                <w:szCs w:val="32"/>
                <w:lang w:val="en-US" w:eastAsia="zh-CN"/>
              </w:rPr>
              <w:t>3</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55A3C79">
            <w:pPr>
              <w:spacing w:line="320" w:lineRule="atLeast"/>
              <w:jc w:val="left"/>
              <w:rPr>
                <w:rFonts w:hint="eastAsia" w:ascii="仿宋" w:hAnsi="仿宋" w:eastAsia="仿宋" w:cs="仿宋"/>
                <w:color w:val="auto"/>
                <w:kern w:val="1"/>
                <w:sz w:val="30"/>
                <w:szCs w:val="30"/>
                <w:lang w:val="en-US" w:eastAsia="zh-CN"/>
              </w:rPr>
            </w:pPr>
            <w:r>
              <w:rPr>
                <w:rFonts w:hint="eastAsia" w:ascii="仿宋" w:hAnsi="仿宋" w:eastAsia="仿宋" w:cs="仿宋"/>
                <w:color w:val="auto"/>
                <w:kern w:val="2"/>
                <w:sz w:val="30"/>
                <w:szCs w:val="30"/>
                <w:lang w:val="en-US" w:eastAsia="en-US"/>
              </w:rPr>
              <w:t>技术参数及规格要求</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5A2B4CB8">
            <w:pPr>
              <w:spacing w:line="320" w:lineRule="atLeast"/>
              <w:jc w:val="both"/>
              <w:rPr>
                <w:rFonts w:hint="eastAsia" w:ascii="仿宋" w:hAnsi="仿宋" w:eastAsia="仿宋" w:cs="仿宋"/>
                <w:color w:val="auto"/>
                <w:kern w:val="1"/>
                <w:sz w:val="30"/>
                <w:szCs w:val="30"/>
                <w:lang w:val="en-US" w:eastAsia="zh-CN"/>
              </w:rPr>
            </w:pPr>
            <w:r>
              <w:rPr>
                <w:rFonts w:hint="eastAsia" w:ascii="仿宋" w:hAnsi="仿宋" w:eastAsia="仿宋" w:cs="仿宋"/>
                <w:color w:val="auto"/>
                <w:kern w:val="1"/>
                <w:sz w:val="30"/>
                <w:szCs w:val="30"/>
                <w:lang w:val="en-US" w:eastAsia="zh-CN"/>
              </w:rPr>
              <w:t>20</w:t>
            </w:r>
          </w:p>
        </w:tc>
        <w:tc>
          <w:tcPr>
            <w:tcW w:w="5988" w:type="dxa"/>
            <w:tcBorders>
              <w:top w:val="single" w:color="000000" w:sz="4" w:space="0"/>
              <w:left w:val="single" w:color="000000" w:sz="4" w:space="0"/>
              <w:bottom w:val="single" w:color="000000" w:sz="4" w:space="0"/>
              <w:right w:val="single" w:color="000000" w:sz="4" w:space="0"/>
            </w:tcBorders>
            <w:noWrap/>
            <w:vAlign w:val="center"/>
          </w:tcPr>
          <w:p w14:paraId="589FBF60">
            <w:pPr>
              <w:numPr>
                <w:ilvl w:val="0"/>
                <w:numId w:val="0"/>
              </w:numP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投标产品的技术参数及规格要求完全满足采购文件中要求的得满分20分。每项参数有负偏离的每一项扣2分，直至此项分值扣完为止。（注：提供相关证明材料）</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77C1E41E">
            <w:pPr>
              <w:spacing w:line="320" w:lineRule="atLeast"/>
              <w:jc w:val="center"/>
              <w:rPr>
                <w:rFonts w:hint="eastAsia" w:ascii="仿宋" w:hAnsi="仿宋" w:eastAsia="仿宋" w:cs="仿宋"/>
                <w:color w:val="auto"/>
                <w:sz w:val="32"/>
                <w:szCs w:val="32"/>
              </w:rPr>
            </w:pPr>
          </w:p>
        </w:tc>
      </w:tr>
      <w:tr w14:paraId="6C34EB22">
        <w:tblPrEx>
          <w:tblCellMar>
            <w:top w:w="0" w:type="dxa"/>
            <w:left w:w="108" w:type="dxa"/>
            <w:bottom w:w="0" w:type="dxa"/>
            <w:right w:w="108" w:type="dxa"/>
          </w:tblCellMar>
        </w:tblPrEx>
        <w:trPr>
          <w:trHeight w:val="3758"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14:paraId="1EFBE74A">
            <w:pPr>
              <w:spacing w:line="320" w:lineRule="atLeast"/>
              <w:jc w:val="center"/>
              <w:rPr>
                <w:rFonts w:hint="eastAsia" w:ascii="仿宋" w:hAnsi="仿宋" w:eastAsia="仿宋" w:cs="仿宋"/>
                <w:color w:val="auto"/>
                <w:kern w:val="1"/>
                <w:sz w:val="32"/>
                <w:szCs w:val="32"/>
                <w:lang w:val="en-US" w:eastAsia="zh-CN"/>
              </w:rPr>
            </w:pPr>
            <w:r>
              <w:rPr>
                <w:rFonts w:hint="eastAsia" w:ascii="仿宋" w:hAnsi="仿宋" w:eastAsia="仿宋" w:cs="仿宋"/>
                <w:color w:val="auto"/>
                <w:kern w:val="1"/>
                <w:sz w:val="32"/>
                <w:szCs w:val="32"/>
                <w:lang w:val="en-US" w:eastAsia="zh-CN"/>
              </w:rPr>
              <w:t>4</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333D9C6">
            <w:pPr>
              <w:spacing w:line="320" w:lineRule="atLeast"/>
              <w:jc w:val="left"/>
              <w:rPr>
                <w:rFonts w:hint="eastAsia" w:ascii="仿宋" w:hAnsi="仿宋" w:eastAsia="仿宋" w:cs="仿宋"/>
                <w:color w:val="auto"/>
                <w:kern w:val="2"/>
                <w:sz w:val="30"/>
                <w:szCs w:val="30"/>
                <w:lang w:val="en-US" w:eastAsia="en-US"/>
              </w:rPr>
            </w:pPr>
            <w:r>
              <w:rPr>
                <w:rFonts w:hint="eastAsia" w:ascii="仿宋" w:hAnsi="仿宋" w:eastAsia="仿宋" w:cs="仿宋"/>
                <w:color w:val="auto"/>
                <w:kern w:val="2"/>
                <w:sz w:val="30"/>
                <w:szCs w:val="30"/>
                <w:lang w:val="en-US" w:eastAsia="en-US"/>
              </w:rPr>
              <w:t>项</w:t>
            </w:r>
            <w:r>
              <w:rPr>
                <w:rFonts w:hint="eastAsia" w:ascii="仿宋" w:hAnsi="仿宋" w:eastAsia="仿宋" w:cs="仿宋"/>
                <w:color w:val="auto"/>
                <w:kern w:val="2"/>
                <w:sz w:val="30"/>
                <w:szCs w:val="30"/>
                <w:lang w:val="en-US" w:eastAsia="zh-CN"/>
              </w:rPr>
              <w:t>目</w:t>
            </w:r>
            <w:r>
              <w:rPr>
                <w:rFonts w:hint="eastAsia" w:ascii="仿宋" w:hAnsi="仿宋" w:eastAsia="仿宋" w:cs="仿宋"/>
                <w:color w:val="auto"/>
                <w:kern w:val="2"/>
                <w:sz w:val="30"/>
                <w:szCs w:val="30"/>
                <w:lang w:val="en-US" w:eastAsia="en-US"/>
              </w:rPr>
              <w:t>服务方案</w:t>
            </w:r>
          </w:p>
        </w:tc>
        <w:tc>
          <w:tcPr>
            <w:tcW w:w="685" w:type="dxa"/>
            <w:tcBorders>
              <w:top w:val="single" w:color="000000" w:sz="4" w:space="0"/>
              <w:left w:val="single" w:color="000000" w:sz="4" w:space="0"/>
              <w:bottom w:val="single" w:color="000000" w:sz="4" w:space="0"/>
              <w:right w:val="single" w:color="000000" w:sz="4" w:space="0"/>
            </w:tcBorders>
            <w:noWrap/>
            <w:vAlign w:val="center"/>
          </w:tcPr>
          <w:p w14:paraId="70D388A3">
            <w:pPr>
              <w:spacing w:line="320" w:lineRule="atLeast"/>
              <w:jc w:val="both"/>
              <w:rPr>
                <w:rFonts w:hint="eastAsia" w:ascii="仿宋" w:hAnsi="仿宋" w:eastAsia="仿宋" w:cs="仿宋"/>
                <w:color w:val="auto"/>
                <w:kern w:val="1"/>
                <w:sz w:val="30"/>
                <w:szCs w:val="30"/>
                <w:lang w:val="en-US" w:eastAsia="zh-CN"/>
              </w:rPr>
            </w:pPr>
            <w:r>
              <w:rPr>
                <w:rFonts w:hint="eastAsia" w:ascii="仿宋" w:hAnsi="仿宋" w:eastAsia="仿宋" w:cs="仿宋"/>
                <w:color w:val="auto"/>
                <w:kern w:val="1"/>
                <w:sz w:val="30"/>
                <w:szCs w:val="30"/>
                <w:lang w:val="en-US" w:eastAsia="zh-CN"/>
              </w:rPr>
              <w:t>30</w:t>
            </w:r>
          </w:p>
        </w:tc>
        <w:tc>
          <w:tcPr>
            <w:tcW w:w="5988" w:type="dxa"/>
            <w:tcBorders>
              <w:top w:val="single" w:color="000000" w:sz="4" w:space="0"/>
              <w:left w:val="single" w:color="000000" w:sz="4" w:space="0"/>
              <w:bottom w:val="single" w:color="000000" w:sz="4" w:space="0"/>
              <w:right w:val="single" w:color="000000" w:sz="4" w:space="0"/>
            </w:tcBorders>
            <w:noWrap/>
            <w:vAlign w:val="center"/>
          </w:tcPr>
          <w:p w14:paraId="45D7116B">
            <w:pPr>
              <w:widowControl/>
              <w:adjustRightInd/>
              <w:snapToGrid/>
              <w:spacing w:after="0" w:line="360" w:lineRule="auto"/>
              <w:jc w:val="both"/>
              <w:rPr>
                <w:rFonts w:hint="eastAsia" w:ascii="仿宋" w:hAnsi="仿宋" w:eastAsia="仿宋" w:cs="仿宋"/>
                <w:color w:val="auto"/>
                <w:kern w:val="2"/>
                <w:sz w:val="24"/>
                <w:szCs w:val="24"/>
                <w:lang w:val="en-US" w:eastAsia="en-US"/>
              </w:rPr>
            </w:pPr>
            <w:r>
              <w:rPr>
                <w:rFonts w:hint="eastAsia" w:ascii="仿宋" w:hAnsi="仿宋" w:eastAsia="仿宋" w:cs="仿宋"/>
                <w:color w:val="auto"/>
                <w:kern w:val="2"/>
                <w:sz w:val="24"/>
                <w:szCs w:val="24"/>
                <w:lang w:val="en-US" w:eastAsia="en-US"/>
              </w:rPr>
              <w:t>根据投标人提供的针对本项目的项目实施方案进行综合评比：包含但不限于：①配送供货方案、②备品备件方案、③服务质量保障措施、④应急保障措施</w:t>
            </w:r>
            <w:r>
              <w:rPr>
                <w:rFonts w:hint="eastAsia" w:ascii="仿宋" w:hAnsi="仿宋" w:eastAsia="仿宋" w:cs="仿宋"/>
                <w:color w:val="auto"/>
                <w:kern w:val="2"/>
                <w:sz w:val="24"/>
                <w:szCs w:val="24"/>
                <w:lang w:val="en-US" w:eastAsia="zh-CN"/>
              </w:rPr>
              <w:t>、</w:t>
            </w:r>
            <w:r>
              <w:rPr>
                <w:rFonts w:hint="eastAsia" w:ascii="仿宋" w:hAnsi="仿宋" w:eastAsia="仿宋" w:cs="仿宋"/>
                <w:color w:val="auto"/>
                <w:kern w:val="2"/>
                <w:sz w:val="24"/>
                <w:szCs w:val="24"/>
                <w:lang w:val="en-US" w:eastAsia="zh-CN"/>
              </w:rPr>
              <w:fldChar w:fldCharType="begin"/>
            </w:r>
            <w:r>
              <w:rPr>
                <w:rFonts w:hint="eastAsia" w:ascii="仿宋" w:hAnsi="仿宋" w:eastAsia="仿宋" w:cs="仿宋"/>
                <w:color w:val="auto"/>
                <w:kern w:val="2"/>
                <w:sz w:val="24"/>
                <w:szCs w:val="24"/>
                <w:lang w:val="en-US" w:eastAsia="zh-CN"/>
              </w:rPr>
              <w:instrText xml:space="preserve"> = 5 \* GB3 \* MERGEFORMAT </w:instrText>
            </w:r>
            <w:r>
              <w:rPr>
                <w:rFonts w:hint="eastAsia" w:ascii="仿宋" w:hAnsi="仿宋" w:eastAsia="仿宋" w:cs="仿宋"/>
                <w:color w:val="auto"/>
                <w:kern w:val="2"/>
                <w:sz w:val="24"/>
                <w:szCs w:val="24"/>
                <w:lang w:val="en-US" w:eastAsia="zh-CN"/>
              </w:rPr>
              <w:fldChar w:fldCharType="separate"/>
            </w:r>
            <w:r>
              <w:rPr>
                <w:rFonts w:hint="eastAsia" w:ascii="仿宋" w:hAnsi="仿宋" w:eastAsia="仿宋" w:cs="仿宋"/>
                <w:color w:val="auto"/>
                <w:kern w:val="2"/>
                <w:sz w:val="24"/>
                <w:szCs w:val="24"/>
                <w:lang w:val="en-US" w:eastAsia="en-US"/>
              </w:rPr>
              <w:t>⑤</w:t>
            </w:r>
            <w:r>
              <w:rPr>
                <w:rFonts w:hint="eastAsia" w:ascii="仿宋" w:hAnsi="仿宋" w:eastAsia="仿宋" w:cs="仿宋"/>
                <w:color w:val="auto"/>
                <w:kern w:val="2"/>
                <w:sz w:val="24"/>
                <w:szCs w:val="24"/>
                <w:lang w:val="en-US" w:eastAsia="zh-CN"/>
              </w:rPr>
              <w:fldChar w:fldCharType="end"/>
            </w:r>
            <w:r>
              <w:rPr>
                <w:rFonts w:hint="eastAsia" w:ascii="仿宋" w:hAnsi="仿宋" w:eastAsia="仿宋" w:cs="仿宋"/>
                <w:color w:val="auto"/>
                <w:kern w:val="2"/>
                <w:sz w:val="24"/>
                <w:szCs w:val="24"/>
                <w:lang w:val="en-US" w:eastAsia="en-US"/>
              </w:rPr>
              <w:t>售后服务</w:t>
            </w:r>
            <w:r>
              <w:rPr>
                <w:rFonts w:hint="eastAsia" w:ascii="仿宋" w:hAnsi="仿宋" w:eastAsia="仿宋" w:cs="仿宋"/>
                <w:color w:val="auto"/>
                <w:kern w:val="2"/>
                <w:sz w:val="24"/>
                <w:szCs w:val="24"/>
                <w:lang w:val="en-US" w:eastAsia="zh-CN"/>
              </w:rPr>
              <w:t>方案、</w:t>
            </w:r>
            <w:r>
              <w:rPr>
                <w:rFonts w:hint="eastAsia" w:ascii="仿宋" w:hAnsi="仿宋" w:eastAsia="仿宋" w:cs="仿宋"/>
                <w:color w:val="auto"/>
                <w:kern w:val="2"/>
                <w:sz w:val="24"/>
                <w:szCs w:val="24"/>
                <w:lang w:val="en-US" w:eastAsia="zh-CN"/>
              </w:rPr>
              <w:fldChar w:fldCharType="begin"/>
            </w:r>
            <w:r>
              <w:rPr>
                <w:rFonts w:hint="eastAsia" w:ascii="仿宋" w:hAnsi="仿宋" w:eastAsia="仿宋" w:cs="仿宋"/>
                <w:color w:val="auto"/>
                <w:kern w:val="2"/>
                <w:sz w:val="24"/>
                <w:szCs w:val="24"/>
                <w:lang w:val="en-US" w:eastAsia="zh-CN"/>
              </w:rPr>
              <w:instrText xml:space="preserve"> = 6 \* GB3 \* MERGEFORMAT </w:instrText>
            </w:r>
            <w:r>
              <w:rPr>
                <w:rFonts w:hint="eastAsia" w:ascii="仿宋" w:hAnsi="仿宋" w:eastAsia="仿宋" w:cs="仿宋"/>
                <w:color w:val="auto"/>
                <w:kern w:val="2"/>
                <w:sz w:val="24"/>
                <w:szCs w:val="24"/>
                <w:lang w:val="en-US" w:eastAsia="zh-CN"/>
              </w:rPr>
              <w:fldChar w:fldCharType="separate"/>
            </w:r>
            <w:r>
              <w:rPr>
                <w:rFonts w:hint="eastAsia" w:ascii="仿宋" w:hAnsi="仿宋" w:eastAsia="仿宋" w:cs="仿宋"/>
                <w:color w:val="auto"/>
                <w:kern w:val="2"/>
                <w:sz w:val="24"/>
                <w:szCs w:val="24"/>
                <w:lang w:val="en-US" w:eastAsia="en-US"/>
              </w:rPr>
              <w:t>⑥</w:t>
            </w:r>
            <w:r>
              <w:rPr>
                <w:rFonts w:hint="eastAsia" w:ascii="仿宋" w:hAnsi="仿宋" w:eastAsia="仿宋" w:cs="仿宋"/>
                <w:color w:val="auto"/>
                <w:kern w:val="2"/>
                <w:sz w:val="24"/>
                <w:szCs w:val="24"/>
                <w:lang w:val="en-US" w:eastAsia="zh-CN"/>
              </w:rPr>
              <w:fldChar w:fldCharType="end"/>
            </w:r>
            <w:r>
              <w:rPr>
                <w:rFonts w:hint="eastAsia" w:ascii="仿宋" w:hAnsi="仿宋" w:eastAsia="仿宋" w:cs="仿宋"/>
                <w:color w:val="auto"/>
                <w:kern w:val="2"/>
                <w:sz w:val="24"/>
                <w:szCs w:val="24"/>
                <w:lang w:val="en-US" w:eastAsia="en-US"/>
              </w:rPr>
              <w:t>本地化服务机构设置；</w:t>
            </w:r>
          </w:p>
          <w:p w14:paraId="7BE898A9">
            <w:pPr>
              <w:numPr>
                <w:ilvl w:val="0"/>
                <w:numId w:val="0"/>
              </w:numP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en-US"/>
              </w:rPr>
              <w:t>以上各单项内容，每缺一项扣</w:t>
            </w:r>
            <w:r>
              <w:rPr>
                <w:rFonts w:hint="eastAsia" w:ascii="仿宋" w:hAnsi="仿宋" w:eastAsia="仿宋" w:cs="仿宋"/>
                <w:color w:val="auto"/>
                <w:kern w:val="2"/>
                <w:sz w:val="24"/>
                <w:szCs w:val="24"/>
                <w:lang w:val="en-US" w:eastAsia="zh-CN"/>
              </w:rPr>
              <w:t>6</w:t>
            </w:r>
            <w:r>
              <w:rPr>
                <w:rFonts w:hint="eastAsia" w:ascii="仿宋" w:hAnsi="仿宋" w:eastAsia="仿宋" w:cs="仿宋"/>
                <w:color w:val="auto"/>
                <w:kern w:val="2"/>
                <w:sz w:val="24"/>
                <w:szCs w:val="24"/>
                <w:lang w:val="en-US" w:eastAsia="en-US"/>
              </w:rPr>
              <w:t>分；</w:t>
            </w:r>
            <w:r>
              <w:rPr>
                <w:rFonts w:hint="eastAsia" w:ascii="仿宋" w:hAnsi="仿宋" w:eastAsia="仿宋" w:cs="仿宋"/>
                <w:color w:val="auto"/>
                <w:kern w:val="2"/>
                <w:sz w:val="24"/>
                <w:szCs w:val="24"/>
                <w:lang w:val="en-US" w:eastAsia="zh-CN"/>
              </w:rPr>
              <w:t>每有一处内容存在不足或不利于项目实施（存在不足是指理解不准确、针对性较弱、虽有内容但描述简单或存在偏离情况的、响应内容和本项目无关）的</w:t>
            </w:r>
            <w:r>
              <w:rPr>
                <w:rFonts w:hint="eastAsia" w:ascii="仿宋" w:hAnsi="仿宋" w:eastAsia="仿宋" w:cs="仿宋"/>
                <w:color w:val="auto"/>
                <w:kern w:val="2"/>
                <w:sz w:val="24"/>
                <w:szCs w:val="24"/>
                <w:lang w:val="en-US" w:eastAsia="en-US"/>
              </w:rPr>
              <w:t>扣</w:t>
            </w:r>
            <w:r>
              <w:rPr>
                <w:rFonts w:hint="eastAsia" w:ascii="仿宋" w:hAnsi="仿宋" w:eastAsia="仿宋" w:cs="仿宋"/>
                <w:color w:val="auto"/>
                <w:kern w:val="2"/>
                <w:sz w:val="24"/>
                <w:szCs w:val="24"/>
                <w:lang w:val="en-US" w:eastAsia="zh-CN"/>
              </w:rPr>
              <w:t>5</w:t>
            </w:r>
            <w:r>
              <w:rPr>
                <w:rFonts w:hint="eastAsia" w:ascii="仿宋" w:hAnsi="仿宋" w:eastAsia="仿宋" w:cs="仿宋"/>
                <w:color w:val="auto"/>
                <w:kern w:val="2"/>
                <w:sz w:val="24"/>
                <w:szCs w:val="24"/>
                <w:lang w:val="en-US" w:eastAsia="en-US"/>
              </w:rPr>
              <w:t>分；扣完为止。本项最多得</w:t>
            </w:r>
            <w:r>
              <w:rPr>
                <w:rFonts w:hint="eastAsia" w:ascii="仿宋" w:hAnsi="仿宋" w:eastAsia="仿宋" w:cs="仿宋"/>
                <w:color w:val="auto"/>
                <w:kern w:val="2"/>
                <w:sz w:val="24"/>
                <w:szCs w:val="24"/>
                <w:lang w:val="en-US" w:eastAsia="zh-CN"/>
              </w:rPr>
              <w:t>30</w:t>
            </w:r>
            <w:r>
              <w:rPr>
                <w:rFonts w:hint="eastAsia" w:ascii="仿宋" w:hAnsi="仿宋" w:eastAsia="仿宋" w:cs="仿宋"/>
                <w:color w:val="auto"/>
                <w:kern w:val="2"/>
                <w:sz w:val="24"/>
                <w:szCs w:val="24"/>
                <w:lang w:val="en-US" w:eastAsia="en-US"/>
              </w:rPr>
              <w:t>分，未提供的不得分。</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615D5E67">
            <w:pPr>
              <w:spacing w:line="320" w:lineRule="atLeast"/>
              <w:jc w:val="center"/>
              <w:rPr>
                <w:rFonts w:hint="eastAsia" w:ascii="仿宋" w:hAnsi="仿宋" w:eastAsia="仿宋" w:cs="仿宋"/>
                <w:color w:val="auto"/>
                <w:sz w:val="32"/>
                <w:szCs w:val="32"/>
              </w:rPr>
            </w:pPr>
          </w:p>
        </w:tc>
      </w:tr>
    </w:tbl>
    <w:p w14:paraId="0F46A312">
      <w:pPr>
        <w:rPr>
          <w:rFonts w:hint="eastAsia" w:ascii="黑体" w:hAnsi="黑体" w:eastAsia="黑体" w:cs="黑体"/>
          <w:color w:val="auto"/>
          <w:lang w:eastAsia="zh-CN"/>
        </w:rPr>
      </w:pP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1"/>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1"/>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2"/>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D8BA0"/>
    <w:multiLevelType w:val="singleLevel"/>
    <w:tmpl w:val="B6DD8BA0"/>
    <w:lvl w:ilvl="0" w:tentative="0">
      <w:start w:val="1"/>
      <w:numFmt w:val="decimal"/>
      <w:lvlText w:val="%1."/>
      <w:lvlJc w:val="left"/>
      <w:pPr>
        <w:tabs>
          <w:tab w:val="left" w:pos="312"/>
        </w:tabs>
      </w:pPr>
    </w:lvl>
  </w:abstractNum>
  <w:abstractNum w:abstractNumId="1">
    <w:nsid w:val="C0B0FD13"/>
    <w:multiLevelType w:val="singleLevel"/>
    <w:tmpl w:val="C0B0FD13"/>
    <w:lvl w:ilvl="0" w:tentative="0">
      <w:start w:val="4"/>
      <w:numFmt w:val="chineseCounting"/>
      <w:suff w:val="space"/>
      <w:lvlText w:val="第%1章"/>
      <w:lvlJc w:val="left"/>
      <w:rPr>
        <w:rFonts w:hint="eastAsia"/>
      </w:rPr>
    </w:lvl>
  </w:abstractNum>
  <w:abstractNum w:abstractNumId="2">
    <w:nsid w:val="C45F5704"/>
    <w:multiLevelType w:val="singleLevel"/>
    <w:tmpl w:val="C45F5704"/>
    <w:lvl w:ilvl="0" w:tentative="0">
      <w:start w:val="1"/>
      <w:numFmt w:val="chineseCounting"/>
      <w:suff w:val="nothing"/>
      <w:lvlText w:val="%1、"/>
      <w:lvlJc w:val="left"/>
      <w:rPr>
        <w:rFonts w:hint="eastAsia"/>
      </w:rPr>
    </w:lvl>
  </w:abstractNum>
  <w:abstractNum w:abstractNumId="3">
    <w:nsid w:val="CF30E4E8"/>
    <w:multiLevelType w:val="singleLevel"/>
    <w:tmpl w:val="CF30E4E8"/>
    <w:lvl w:ilvl="0" w:tentative="0">
      <w:start w:val="1"/>
      <w:numFmt w:val="decimal"/>
      <w:suff w:val="nothing"/>
      <w:lvlText w:val="（%1）"/>
      <w:lvlJc w:val="left"/>
    </w:lvl>
  </w:abstractNum>
  <w:abstractNum w:abstractNumId="4">
    <w:nsid w:val="1D6A547E"/>
    <w:multiLevelType w:val="singleLevel"/>
    <w:tmpl w:val="1D6A547E"/>
    <w:lvl w:ilvl="0" w:tentative="0">
      <w:start w:val="1"/>
      <w:numFmt w:val="decimal"/>
      <w:suff w:val="nothing"/>
      <w:lvlText w:val="%1、"/>
      <w:lvlJc w:val="left"/>
      <w:pPr>
        <w:ind w:left="21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5D6855"/>
    <w:rsid w:val="038264FB"/>
    <w:rsid w:val="03E45948"/>
    <w:rsid w:val="03EB6F22"/>
    <w:rsid w:val="03ED3BD7"/>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59252E"/>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49C5888"/>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577691"/>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070FD4"/>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7135D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544E2"/>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4F5830"/>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175C14"/>
    <w:rsid w:val="6B3D74AC"/>
    <w:rsid w:val="6BF5199F"/>
    <w:rsid w:val="6C81461E"/>
    <w:rsid w:val="6CE610BF"/>
    <w:rsid w:val="6CED312F"/>
    <w:rsid w:val="6CF2654E"/>
    <w:rsid w:val="6D1916FD"/>
    <w:rsid w:val="6D226C43"/>
    <w:rsid w:val="6D535020"/>
    <w:rsid w:val="6DCF5925"/>
    <w:rsid w:val="6DFD38EB"/>
    <w:rsid w:val="6E383ABA"/>
    <w:rsid w:val="6E8B493F"/>
    <w:rsid w:val="6EA3545A"/>
    <w:rsid w:val="6F9F7F7D"/>
    <w:rsid w:val="719A4F83"/>
    <w:rsid w:val="71DE50A5"/>
    <w:rsid w:val="722021E3"/>
    <w:rsid w:val="722B548E"/>
    <w:rsid w:val="722E4AEA"/>
    <w:rsid w:val="73683978"/>
    <w:rsid w:val="73F43F5E"/>
    <w:rsid w:val="7438150C"/>
    <w:rsid w:val="746F037C"/>
    <w:rsid w:val="74802750"/>
    <w:rsid w:val="74D379E1"/>
    <w:rsid w:val="74F82EAA"/>
    <w:rsid w:val="75457DB7"/>
    <w:rsid w:val="7563067A"/>
    <w:rsid w:val="75E55D62"/>
    <w:rsid w:val="76466533"/>
    <w:rsid w:val="7783749C"/>
    <w:rsid w:val="77F97E1C"/>
    <w:rsid w:val="785111E8"/>
    <w:rsid w:val="789D2DB2"/>
    <w:rsid w:val="78E831F4"/>
    <w:rsid w:val="790243F1"/>
    <w:rsid w:val="79AC141B"/>
    <w:rsid w:val="79B51E35"/>
    <w:rsid w:val="79EA27D4"/>
    <w:rsid w:val="7AE23540"/>
    <w:rsid w:val="7B6C3C65"/>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4">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6">
    <w:name w:val="Body Text Indent"/>
    <w:basedOn w:val="1"/>
    <w:next w:val="7"/>
    <w:qFormat/>
    <w:uiPriority w:val="0"/>
    <w:pPr>
      <w:spacing w:after="120" w:afterLines="0"/>
      <w:ind w:left="420" w:leftChars="200"/>
    </w:pPr>
  </w:style>
  <w:style w:type="paragraph" w:styleId="7">
    <w:name w:val="envelope return"/>
    <w:basedOn w:val="1"/>
    <w:qFormat/>
    <w:uiPriority w:val="0"/>
    <w:pPr>
      <w:snapToGrid w:val="0"/>
    </w:pPr>
    <w:rPr>
      <w:rFonts w:ascii="Arial" w:hAnsi="Arial"/>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9628"/>
      </w:tabs>
      <w:spacing w:line="360" w:lineRule="auto"/>
      <w:jc w:val="center"/>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2"/>
    <w:qFormat/>
    <w:uiPriority w:val="0"/>
    <w:pPr>
      <w:ind w:firstLine="420" w:firstLineChars="100"/>
    </w:pPr>
    <w:rPr>
      <w:rFonts w:ascii="Times New Roman" w:hAnsi="Times New Roman"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qFormat/>
    <w:uiPriority w:val="0"/>
    <w:rPr>
      <w:color w:val="0000FF"/>
      <w:u w:val="single"/>
    </w:rPr>
  </w:style>
  <w:style w:type="paragraph" w:styleId="21">
    <w:name w:val="Quote"/>
    <w:basedOn w:val="1"/>
    <w:next w:val="1"/>
    <w:qFormat/>
    <w:uiPriority w:val="0"/>
    <w:rPr>
      <w:i/>
      <w:iCs/>
      <w:color w:val="000000"/>
      <w:szCs w:val="22"/>
    </w:rPr>
  </w:style>
  <w:style w:type="character" w:customStyle="1" w:styleId="22">
    <w:name w:val="标题 1 Char"/>
    <w:link w:val="3"/>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8"/>
    <w:qFormat/>
    <w:uiPriority w:val="0"/>
    <w:rPr>
      <w:rFonts w:ascii="Calibri" w:hAnsi="Calibri" w:cs="Calibri"/>
      <w:color w:val="000000"/>
      <w:sz w:val="18"/>
      <w:szCs w:val="18"/>
      <w:u w:val="none"/>
    </w:rPr>
  </w:style>
  <w:style w:type="character" w:customStyle="1" w:styleId="25">
    <w:name w:val="font01"/>
    <w:basedOn w:val="18"/>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5701</Words>
  <Characters>5898</Characters>
  <Lines>0</Lines>
  <Paragraphs>0</Paragraphs>
  <TotalTime>4</TotalTime>
  <ScaleCrop>false</ScaleCrop>
  <LinksUpToDate>false</LinksUpToDate>
  <CharactersWithSpaces>6095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2019-09-23T08:20:00Z</cp:lastPrinted>
  <dcterms:modified xsi:type="dcterms:W3CDTF">2025-02-26T09:05:17Z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C05AC66741D34244BB6A4484CA91A2FC_13</vt:lpwstr>
  </property>
  <property fmtid="{D5CDD505-2E9C-101B-9397-08002B2CF9AE}" pid="4" name="KSOTemplateDocerSaveRecord">
    <vt:lpwstr>eyJoZGlkIjoiYjJmZmFmMGFkNTkxMTc3Y2Q4ODdmNWVhNTFmYjU5MjciLCJ1c2VySWQiOiIxMjE4MTQ0Nzk4In0=</vt:lpwstr>
  </property>
</Properties>
</file>