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52"/>
          <w:szCs w:val="52"/>
          <w:lang w:eastAsia="zh-CN"/>
        </w:rPr>
        <w:t>乐山市五通桥区人民医院</w:t>
      </w: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检验外包服务</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YNCG006</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6月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bookmarkStart w:id="16" w:name="_GoBack"/>
      <w:r>
        <w:rPr>
          <w:rFonts w:hint="eastAsia" w:ascii="黑体" w:hAnsi="黑体" w:eastAsia="黑体" w:cs="黑体"/>
          <w:sz w:val="36"/>
          <w:szCs w:val="36"/>
          <w:lang w:eastAsia="zh-CN"/>
        </w:rPr>
        <w:t>乐山市五通桥区人民医院</w:t>
      </w:r>
      <w:r>
        <w:rPr>
          <w:rFonts w:hint="eastAsia" w:ascii="黑体" w:hAnsi="黑体" w:eastAsia="黑体" w:cs="黑体"/>
          <w:sz w:val="36"/>
          <w:szCs w:val="36"/>
          <w:lang w:val="en-US" w:eastAsia="zh-CN"/>
        </w:rPr>
        <w:t>检验外包服务</w:t>
      </w:r>
      <w:r>
        <w:rPr>
          <w:rFonts w:hint="eastAsia" w:ascii="黑体" w:hAnsi="黑体" w:eastAsia="黑体" w:cs="黑体"/>
          <w:sz w:val="36"/>
          <w:szCs w:val="36"/>
          <w:lang w:eastAsia="zh-CN"/>
        </w:rPr>
        <w:t>院内采购公告</w:t>
      </w:r>
      <w:bookmarkEnd w:id="16"/>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YNCG006，项目包数量：1个</w:t>
      </w:r>
    </w:p>
    <w:p>
      <w:pPr>
        <w:pStyle w:val="15"/>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二、项目背景：本项目通过院内采购的方式确定供应商（检测机构），承担乐山市五通桥区人民医院检验服务。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三、采购项目内容（详细要求请看附件）：检验外包服务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2024年6月19日17:00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1.方案报价在60日内有效，报价包括供应商履约过程中的服务费、人工、差旅、保险、税金与供应商履约所需要的其他所有费用。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最低价评分法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pStyle w:val="15"/>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采购文件</w:t>
      </w:r>
      <w:r>
        <w:rPr>
          <w:rFonts w:hint="eastAsia" w:ascii="仿宋" w:hAnsi="仿宋" w:eastAsia="仿宋" w:cs="仿宋"/>
          <w:color w:val="555555"/>
          <w:kern w:val="0"/>
          <w:sz w:val="32"/>
          <w:szCs w:val="32"/>
        </w:rPr>
        <w:t>:</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电话:</w:t>
      </w:r>
      <w:r>
        <w:rPr>
          <w:rFonts w:hint="eastAsia" w:ascii="仿宋" w:hAnsi="仿宋" w:eastAsia="仿宋" w:cs="仿宋"/>
          <w:color w:val="555555"/>
          <w:kern w:val="0"/>
          <w:sz w:val="32"/>
          <w:szCs w:val="32"/>
          <w:lang w:val="en-US" w:eastAsia="zh-CN"/>
        </w:rPr>
        <w:t>0833-3211269</w:t>
      </w:r>
    </w:p>
    <w:p>
      <w:pPr>
        <w:ind w:firstLine="640" w:firstLineChars="200"/>
        <w:rPr>
          <w:rFonts w:hint="eastAsia"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项目联系人</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赵老师      电话:0833-3358526</w:t>
      </w: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最低价评分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val="en-US" w:eastAsia="zh-CN"/>
        </w:rPr>
        <w:t>价格最低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val="en-US" w:eastAsia="zh-CN"/>
        </w:rPr>
        <w:t>价格最低</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6"/>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25737"/>
      <w:bookmarkStart w:id="1" w:name="_Toc18458"/>
      <w:bookmarkStart w:id="2" w:name="_Toc9490"/>
      <w:bookmarkStart w:id="3" w:name="_Toc5773"/>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12449"/>
      <w:bookmarkStart w:id="6" w:name="_Toc439699516"/>
      <w:bookmarkStart w:id="7" w:name="_Toc4003"/>
      <w:r>
        <w:rPr>
          <w:rFonts w:hint="eastAsia" w:ascii="黑体" w:hAnsi="黑体" w:eastAsia="黑体" w:cs="黑体"/>
          <w:b/>
          <w:sz w:val="36"/>
          <w:szCs w:val="36"/>
          <w:lang w:val="en-US" w:eastAsia="zh-CN"/>
        </w:rPr>
        <w:t>采购资质要求</w:t>
      </w:r>
    </w:p>
    <w:p>
      <w:pPr>
        <w:pStyle w:val="6"/>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6"/>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具有国家行政主管部门颁发的《医疗机构执业许可证》复印件</w:t>
            </w: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5"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6"/>
        <w:rPr>
          <w:rFonts w:hint="eastAsia" w:ascii="仿宋" w:hAnsi="仿宋" w:eastAsia="仿宋" w:cs="仿宋"/>
          <w:color w:val="auto"/>
          <w:sz w:val="30"/>
          <w:szCs w:val="30"/>
          <w:highlight w:val="none"/>
          <w:lang w:eastAsia="zh-CN"/>
        </w:rPr>
      </w:pPr>
    </w:p>
    <w:p>
      <w:pPr>
        <w:pStyle w:val="21"/>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6"/>
        <w:rPr>
          <w:rFonts w:hint="eastAsia"/>
          <w:lang w:eastAsia="zh-CN"/>
        </w:rPr>
      </w:pPr>
    </w:p>
    <w:p>
      <w:pPr>
        <w:pStyle w:val="6"/>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6"/>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6"/>
        <w:adjustRightInd w:val="0"/>
        <w:snapToGrid w:val="0"/>
        <w:spacing w:after="0" w:line="360" w:lineRule="auto"/>
        <w:ind w:firstLine="560" w:firstLineChars="200"/>
        <w:rPr>
          <w:rFonts w:hint="eastAsia" w:ascii="黑体" w:hAnsi="黑体" w:eastAsia="黑体" w:cs="黑体"/>
          <w:sz w:val="28"/>
          <w:szCs w:val="28"/>
          <w:lang w:eastAsia="zh-CN"/>
        </w:rPr>
      </w:pPr>
    </w:p>
    <w:p>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6184"/>
      <w:bookmarkStart w:id="9" w:name="_Toc199"/>
      <w:bookmarkStart w:id="10" w:name="_Toc1800"/>
      <w:bookmarkStart w:id="11" w:name="_Toc12426"/>
      <w:bookmarkStart w:id="12" w:name="_Toc439699522"/>
      <w:bookmarkStart w:id="13" w:name="_Toc1287"/>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6"/>
        <w:rPr>
          <w:rFonts w:hint="eastAsia" w:ascii="黑体" w:hAnsi="黑体" w:eastAsia="黑体" w:cs="黑体"/>
          <w:lang w:val="en-US" w:eastAsia="zh-CN"/>
        </w:rPr>
      </w:pPr>
    </w:p>
    <w:p>
      <w:pPr>
        <w:pStyle w:val="15"/>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5"/>
        <w:numPr>
          <w:ilvl w:val="0"/>
          <w:numId w:val="0"/>
        </w:numPr>
        <w:spacing w:line="240" w:lineRule="auto"/>
        <w:ind w:leftChars="0"/>
        <w:rPr>
          <w:rFonts w:hint="default"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 xml:space="preserve">    限价要求：供应商报价下浮比例报价大于50%，否则视为无效投标。</w:t>
      </w:r>
    </w:p>
    <w:tbl>
      <w:tblPr>
        <w:tblStyle w:val="17"/>
        <w:tblW w:w="0" w:type="auto"/>
        <w:tblInd w:w="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450"/>
        <w:gridCol w:w="1950"/>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450" w:type="dxa"/>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项目名称</w:t>
            </w:r>
          </w:p>
        </w:tc>
        <w:tc>
          <w:tcPr>
            <w:tcW w:w="1950" w:type="dxa"/>
          </w:tcPr>
          <w:p>
            <w:pPr>
              <w:pStyle w:val="15"/>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收费</w:t>
            </w:r>
          </w:p>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标准（元）</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性激素6项</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211</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骨髓涂片检查</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59</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ABO-Rh新生儿溶血病检测</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75</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高血压三项</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63</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血红蛋白成分分析</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贫血三项</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79</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降钙素测定</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31</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抗核提取物抗体测定（抗ENA抗体）</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抗双链DNA测定（抗dsDNA）</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28</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抗核抗体（ANA）</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抗中性粒细胞胞浆抗体测定</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抗线粒体抗体测定（AMA）</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α-地中海贫血基因检测</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β-地中海贫血基因检测</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各种白介素测定（IL-6测定）</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72</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葡萄糖6-磷酸脱氢酶活性检测</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聚糖检测（真菌D-肽聚糖检测动态比浊法）</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曲霉菌血清学试验</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EB病毒抗体测定(IgM)</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促甲状腺受体抗体</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21</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细菌内毒素</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总25-羟基维生素D</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化学污染物22项（针对透析室的透析液）</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1500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血红蛋白成分分析</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肺泡灌洗液，胸水，脑脊液NGS</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26</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肿瘤基因检测及PD-L1检测</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7650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27</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血儿茶酚胺</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28</w:t>
            </w:r>
          </w:p>
        </w:tc>
        <w:tc>
          <w:tcPr>
            <w:tcW w:w="3450" w:type="dxa"/>
            <w:vAlign w:val="center"/>
          </w:tcPr>
          <w:p>
            <w:pPr>
              <w:pStyle w:val="15"/>
              <w:numPr>
                <w:ilvl w:val="0"/>
                <w:numId w:val="0"/>
              </w:numPr>
              <w:spacing w:line="240" w:lineRule="auto"/>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尿儿茶酚胺</w:t>
            </w:r>
          </w:p>
        </w:tc>
        <w:tc>
          <w:tcPr>
            <w:tcW w:w="1950" w:type="dxa"/>
            <w:vAlign w:val="center"/>
          </w:tcPr>
          <w:p>
            <w:pPr>
              <w:pStyle w:val="15"/>
              <w:numPr>
                <w:ilvl w:val="0"/>
                <w:numId w:val="0"/>
              </w:numPr>
              <w:spacing w:line="240" w:lineRule="auto"/>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180</w:t>
            </w:r>
          </w:p>
        </w:tc>
        <w:tc>
          <w:tcPr>
            <w:tcW w:w="2961" w:type="dxa"/>
          </w:tcPr>
          <w:p>
            <w:pPr>
              <w:pStyle w:val="15"/>
              <w:numPr>
                <w:ilvl w:val="0"/>
                <w:numId w:val="0"/>
              </w:numPr>
              <w:spacing w:line="240" w:lineRule="auto"/>
              <w:rPr>
                <w:rFonts w:hint="default" w:ascii="仿宋" w:hAnsi="仿宋" w:eastAsia="仿宋" w:cs="仿宋"/>
                <w:color w:val="FF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29</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高血压四项</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79</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ACTH</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31</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31</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皮质醇</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21</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32</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地中海贫血基因检测</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290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33</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丙肝病毒RNA定量</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60</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34</w:t>
            </w:r>
          </w:p>
        </w:tc>
        <w:tc>
          <w:tcPr>
            <w:tcW w:w="34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百日咳杆菌核酸检测</w:t>
            </w:r>
          </w:p>
        </w:tc>
        <w:tc>
          <w:tcPr>
            <w:tcW w:w="1950" w:type="dxa"/>
            <w:vAlign w:val="center"/>
          </w:tcPr>
          <w:p>
            <w:pPr>
              <w:pStyle w:val="15"/>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2961" w:type="dxa"/>
          </w:tcPr>
          <w:p>
            <w:pPr>
              <w:pStyle w:val="15"/>
              <w:numPr>
                <w:ilvl w:val="0"/>
                <w:numId w:val="0"/>
              </w:numPr>
              <w:spacing w:line="240" w:lineRule="auto"/>
              <w:rPr>
                <w:rFonts w:hint="default" w:ascii="仿宋" w:hAnsi="仿宋" w:eastAsia="仿宋" w:cs="仿宋"/>
                <w:sz w:val="32"/>
                <w:szCs w:val="32"/>
                <w:vertAlign w:val="baseline"/>
                <w:lang w:val="en-US" w:eastAsia="zh-CN"/>
              </w:rPr>
            </w:pPr>
          </w:p>
        </w:tc>
      </w:tr>
    </w:tbl>
    <w:p>
      <w:pPr>
        <w:pStyle w:val="15"/>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注：不限于目录内的检验项目，业主可根据临床需要进行增减。</w:t>
      </w:r>
    </w:p>
    <w:p>
      <w:pPr>
        <w:pStyle w:val="15"/>
        <w:numPr>
          <w:ilvl w:val="0"/>
          <w:numId w:val="0"/>
        </w:numPr>
        <w:spacing w:line="240" w:lineRule="auto"/>
        <w:rPr>
          <w:rFonts w:hint="eastAsia" w:ascii="仿宋" w:hAnsi="仿宋" w:eastAsia="仿宋" w:cs="仿宋"/>
          <w:sz w:val="32"/>
          <w:szCs w:val="32"/>
          <w:vertAlign w:val="baseline"/>
          <w:lang w:val="en-US" w:eastAsia="zh-CN"/>
        </w:rPr>
      </w:pPr>
    </w:p>
    <w:p>
      <w:pPr>
        <w:pStyle w:val="15"/>
        <w:numPr>
          <w:ilvl w:val="0"/>
          <w:numId w:val="0"/>
        </w:numPr>
        <w:spacing w:line="240" w:lineRule="auto"/>
        <w:ind w:leftChars="0"/>
        <w:rPr>
          <w:rFonts w:hint="eastAsia" w:ascii="仿宋" w:hAnsi="仿宋" w:eastAsia="仿宋" w:cs="仿宋"/>
          <w:sz w:val="32"/>
          <w:szCs w:val="32"/>
          <w:lang w:val="en-US" w:eastAsia="zh-CN"/>
        </w:rPr>
      </w:pPr>
    </w:p>
    <w:p>
      <w:pPr>
        <w:pStyle w:val="15"/>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商务要求（实质性要求）：</w:t>
      </w:r>
    </w:p>
    <w:p>
      <w:pPr>
        <w:pStyle w:val="15"/>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标本的收集和报告的处理：急诊标本在成交方接到采购人电话通知后30分钟内到达指定地点收取，标本在送达实验室后1小时内出具检验结果，电话通知采购人科室并上传报告。普通标本需按照采购人要求每天准时进行收集，且在送达实验室后的第2天上班前完成报告的上传工作。</w:t>
      </w:r>
    </w:p>
    <w:p>
      <w:pPr>
        <w:pStyle w:val="15"/>
        <w:numPr>
          <w:ilvl w:val="0"/>
          <w:numId w:val="3"/>
        </w:numPr>
        <w:spacing w:line="240" w:lineRule="auto"/>
        <w:ind w:left="-8" w:leftChars="-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服务期限：合同一年一签，一年结束后双方友好协商可续签合同，最长合同服务期限不超过3年。</w:t>
      </w:r>
    </w:p>
    <w:p>
      <w:pPr>
        <w:pStyle w:val="15"/>
        <w:numPr>
          <w:ilvl w:val="0"/>
          <w:numId w:val="3"/>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w:t>
      </w:r>
    </w:p>
    <w:p>
      <w:pPr>
        <w:pStyle w:val="15"/>
        <w:numPr>
          <w:ilvl w:val="0"/>
          <w:numId w:val="0"/>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本次采购的所有常规检验项目需在供应商实验室内完成不得转送其他实验室。</w:t>
      </w:r>
    </w:p>
    <w:p>
      <w:pPr>
        <w:pStyle w:val="15"/>
        <w:numPr>
          <w:ilvl w:val="0"/>
          <w:numId w:val="0"/>
        </w:numPr>
        <w:spacing w:line="240" w:lineRule="auto"/>
        <w:ind w:left="-10" w:leftChars="-5"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供应商实验室检测到危急值时在经过复核后应及时通知到采购人具体科室人员并作好记录。</w:t>
      </w:r>
    </w:p>
    <w:p>
      <w:pPr>
        <w:pStyle w:val="15"/>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采购人有增加或减少相应的检测项目的权利。</w:t>
      </w:r>
    </w:p>
    <w:p>
      <w:pPr>
        <w:pStyle w:val="15"/>
        <w:numPr>
          <w:ilvl w:val="0"/>
          <w:numId w:val="0"/>
        </w:numPr>
        <w:spacing w:line="240" w:lineRule="auto"/>
        <w:ind w:left="59" w:leftChars="28" w:firstLine="572" w:firstLineChars="17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成交后可根据采购人的需要，定期向采购人的相关工作人员免费提供培训（需提供方案）。</w:t>
      </w:r>
    </w:p>
    <w:p>
      <w:pPr>
        <w:pStyle w:val="15"/>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成交人应对所提供的设备须证照齐全且保持完好可使用状态</w:t>
      </w:r>
    </w:p>
    <w:p>
      <w:pPr>
        <w:pStyle w:val="15"/>
        <w:numPr>
          <w:ilvl w:val="0"/>
          <w:numId w:val="3"/>
        </w:numPr>
        <w:spacing w:line="240" w:lineRule="auto"/>
        <w:ind w:left="0" w:leftChars="0" w:firstLine="57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履约要求：成交人应承诺对出具的检测报告的所有内容（包括但不限于：真实性、准确性）承担相应的法律责任。</w:t>
      </w:r>
    </w:p>
    <w:p>
      <w:pPr>
        <w:pStyle w:val="15"/>
        <w:numPr>
          <w:ilvl w:val="0"/>
          <w:numId w:val="0"/>
        </w:numPr>
        <w:spacing w:line="240" w:lineRule="auto"/>
        <w:ind w:left="-8" w:leftChars="-4"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供应商需承诺成交后，在检验活动中对检验的信息进行保密，在没有获得采购人的书面同意，不得向第三方透露检验的所有信息，并与采购人签订保密协议。</w:t>
      </w:r>
    </w:p>
    <w:p>
      <w:pPr>
        <w:pStyle w:val="15"/>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本次采购为单价采购，每月核对工作量后，按成交单价以实际发生数量结算检测费用，次月滚动支付发生费用。采购人有权根据实际情况对所需检测内容进行调整；但合同期内实际结算总费用，不得超过采购总预算的10%。</w:t>
      </w:r>
    </w:p>
    <w:p>
      <w:pPr>
        <w:pStyle w:val="15"/>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r>
        <w:rPr>
          <w:rFonts w:hint="eastAsia" w:ascii="黑体" w:hAnsi="黑体" w:eastAsia="黑体" w:cs="黑体"/>
          <w:lang w:eastAsia="zh-CN"/>
        </w:rPr>
        <w:br w:type="page"/>
      </w:r>
    </w:p>
    <w:p>
      <w:pPr>
        <w:pStyle w:val="15"/>
        <w:rPr>
          <w:rFonts w:hint="eastAsia" w:ascii="黑体" w:hAnsi="黑体" w:eastAsia="黑体" w:cs="黑体"/>
          <w:lang w:eastAsia="zh-CN"/>
        </w:rPr>
      </w:pPr>
    </w:p>
    <w:p>
      <w:pPr>
        <w:pStyle w:val="6"/>
        <w:rPr>
          <w:rFonts w:hint="eastAsia" w:ascii="黑体" w:hAnsi="黑体" w:eastAsia="黑体" w:cs="黑体"/>
          <w:lang w:eastAsia="zh-CN"/>
        </w:rPr>
      </w:pPr>
    </w:p>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07506E"/>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1D5FEB"/>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966747D"/>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4379EB"/>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E802F63"/>
    <w:rsid w:val="4FA771C2"/>
    <w:rsid w:val="4FDC7DDA"/>
    <w:rsid w:val="5003209D"/>
    <w:rsid w:val="500F3968"/>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0DB0552"/>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584059"/>
    <w:rsid w:val="746F037C"/>
    <w:rsid w:val="74802750"/>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628"/>
      </w:tabs>
      <w:spacing w:line="360" w:lineRule="auto"/>
      <w:jc w:val="center"/>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6"/>
    <w:qFormat/>
    <w:uiPriority w:val="0"/>
    <w:pPr>
      <w:ind w:firstLine="420" w:firstLineChars="1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0"/>
    <w:rPr>
      <w:color w:val="0000FF"/>
      <w:u w:val="single"/>
    </w:rPr>
  </w:style>
  <w:style w:type="paragraph" w:styleId="21">
    <w:name w:val="Quote"/>
    <w:basedOn w:val="1"/>
    <w:next w:val="1"/>
    <w:qFormat/>
    <w:uiPriority w:val="0"/>
    <w:rPr>
      <w:i/>
      <w:iCs/>
      <w:color w:val="000000"/>
      <w:szCs w:val="22"/>
    </w:rPr>
  </w:style>
  <w:style w:type="character" w:customStyle="1" w:styleId="22">
    <w:name w:val="标题 1 Char"/>
    <w:link w:val="3"/>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8"/>
    <w:qFormat/>
    <w:uiPriority w:val="0"/>
    <w:rPr>
      <w:rFonts w:ascii="Calibri" w:hAnsi="Calibri" w:cs="Calibri"/>
      <w:color w:val="000000"/>
      <w:sz w:val="18"/>
      <w:szCs w:val="18"/>
      <w:u w:val="none"/>
    </w:rPr>
  </w:style>
  <w:style w:type="character" w:customStyle="1" w:styleId="25">
    <w:name w:val="font01"/>
    <w:basedOn w:val="18"/>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6157</Words>
  <Characters>6445</Characters>
  <Lines>0</Lines>
  <Paragraphs>0</Paragraphs>
  <TotalTime>4</TotalTime>
  <ScaleCrop>false</ScaleCrop>
  <LinksUpToDate>false</LinksUpToDate>
  <CharactersWithSpaces>6635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徐驰</cp:lastModifiedBy>
  <cp:lastPrinted>2019-09-23T08:20:00Z</cp:lastPrinted>
  <dcterms:modified xsi:type="dcterms:W3CDTF">2024-06-14T00:46:14Z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6F48A25E1CA9488A9F55693863D49B3D</vt:lpwstr>
  </property>
</Properties>
</file>