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val="en-US" w:eastAsia="zh-CN"/>
        </w:rPr>
        <w:t>医疗污水废气检测询价</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w:t>
      </w:r>
      <w:r>
        <w:rPr>
          <w:rFonts w:hint="eastAsia" w:ascii="黑体" w:hAnsi="黑体" w:eastAsia="黑体" w:cs="黑体"/>
          <w:sz w:val="40"/>
          <w:szCs w:val="40"/>
          <w:lang w:val="en-US" w:eastAsia="zh-CN"/>
        </w:rPr>
        <w:t>称：医疗污水废气</w:t>
      </w:r>
      <w:bookmarkStart w:id="16" w:name="_GoBack"/>
      <w:bookmarkEnd w:id="16"/>
      <w:r>
        <w:rPr>
          <w:rFonts w:hint="eastAsia" w:ascii="黑体" w:hAnsi="黑体" w:eastAsia="黑体" w:cs="黑体"/>
          <w:sz w:val="40"/>
          <w:szCs w:val="40"/>
          <w:lang w:val="en-US" w:eastAsia="zh-CN"/>
        </w:rPr>
        <w:t>检测</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YNCG2024004</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2024年5月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医疗污水废气检测询价</w:t>
      </w:r>
      <w:r>
        <w:rPr>
          <w:rFonts w:hint="eastAsia" w:ascii="黑体" w:hAnsi="黑体" w:eastAsia="黑体" w:cs="黑体"/>
          <w:sz w:val="36"/>
          <w:szCs w:val="36"/>
          <w:lang w:eastAsia="zh-CN"/>
        </w:rPr>
        <w:t>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w:t>
      </w:r>
      <w:r>
        <w:rPr>
          <w:rFonts w:hint="eastAsia" w:ascii="仿宋" w:hAnsi="仿宋" w:eastAsia="仿宋" w:cs="仿宋"/>
          <w:color w:val="555555"/>
          <w:kern w:val="0"/>
          <w:sz w:val="32"/>
          <w:szCs w:val="32"/>
          <w:lang w:val="en-US" w:eastAsia="zh-CN"/>
        </w:rPr>
        <w:t>购编号：YNCG2024004，项目包数量：1个</w:t>
      </w:r>
    </w:p>
    <w:p>
      <w:pPr>
        <w:pStyle w:val="16"/>
        <w:spacing w:line="240" w:lineRule="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555555"/>
          <w:kern w:val="0"/>
          <w:sz w:val="32"/>
          <w:szCs w:val="32"/>
          <w:lang w:val="en-US" w:eastAsia="zh-CN"/>
        </w:rPr>
        <w:t xml:space="preserve">  二、项目背景：</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医院各项污水废气指标检测   限价：95200元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公司的营业执照（</w:t>
      </w:r>
      <w:r>
        <w:rPr>
          <w:rFonts w:hint="eastAsia" w:ascii="仿宋" w:hAnsi="仿宋" w:eastAsia="仿宋" w:cs="仿宋"/>
          <w:color w:val="000000" w:themeColor="text1"/>
          <w:kern w:val="0"/>
          <w:sz w:val="32"/>
          <w:szCs w:val="32"/>
          <w:lang w:eastAsia="zh-CN"/>
          <w14:textFill>
            <w14:solidFill>
              <w14:schemeClr w14:val="tx1"/>
            </w14:solidFill>
          </w14:textFill>
        </w:rPr>
        <w:t>三证合一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复印件</w:t>
      </w:r>
      <w:r>
        <w:rPr>
          <w:rFonts w:hint="eastAsia" w:ascii="仿宋" w:hAnsi="仿宋" w:eastAsia="仿宋" w:cs="仿宋"/>
          <w:color w:val="000000" w:themeColor="text1"/>
          <w:kern w:val="0"/>
          <w:sz w:val="32"/>
          <w:szCs w:val="32"/>
          <w14:textFill>
            <w14:solidFill>
              <w14:schemeClr w14:val="tx1"/>
            </w14:solidFill>
          </w14:textFill>
        </w:rPr>
        <w:t>加盖鲜章</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法定代表人授权委托书（法定代表人参与的须提供法定代表人证明书）</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法定代表人和授权代表的身份证</w:t>
      </w:r>
      <w:r>
        <w:rPr>
          <w:rFonts w:hint="eastAsia" w:ascii="仿宋" w:hAnsi="仿宋" w:eastAsia="仿宋" w:cs="仿宋"/>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以上资料至少2套，请满足上述资质要求的供应商于2024年5月27日16:30之前将资料送至乐山市五通桥区人民医院采购办（行政楼三楼楼梯处），在截至时间以后送到的响应文件将被拒绝并退还给供应商。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000000" w:themeColor="text1"/>
          <w:kern w:val="0"/>
          <w:sz w:val="32"/>
          <w:szCs w:val="32"/>
          <w:lang w:val="en-US" w:eastAsia="zh-CN"/>
          <w14:textFill>
            <w14:solidFill>
              <w14:schemeClr w14:val="tx1"/>
            </w14:solidFill>
          </w14:textFill>
        </w:rPr>
        <w:t>2.在供应商满足相关资质要求及服务要求的条件下，采购采用最低评分法，中标结果由医院网站公示，中标公司请在公示后30日内到采购办签订合同，超过公示后30日不响应签订合同的视为放弃中标</w:t>
      </w:r>
      <w:r>
        <w:rPr>
          <w:rFonts w:hint="eastAsia" w:ascii="仿宋" w:hAnsi="仿宋" w:eastAsia="仿宋" w:cs="仿宋"/>
          <w:color w:val="555555"/>
          <w:kern w:val="0"/>
          <w:sz w:val="32"/>
          <w:szCs w:val="32"/>
          <w:lang w:val="en-US" w:eastAsia="zh-CN"/>
        </w:rPr>
        <w:t>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采购文件</w:t>
      </w:r>
      <w:r>
        <w:rPr>
          <w:rFonts w:hint="eastAsia" w:ascii="仿宋" w:hAnsi="仿宋" w:eastAsia="仿宋" w:cs="仿宋"/>
          <w:color w:val="555555"/>
          <w:kern w:val="0"/>
          <w:sz w:val="32"/>
          <w:szCs w:val="32"/>
        </w:rPr>
        <w:t>:</w:t>
      </w:r>
      <w:r>
        <w:rPr>
          <w:rFonts w:hint="eastAsia" w:ascii="仿宋" w:hAnsi="仿宋" w:eastAsia="仿宋" w:cs="仿宋"/>
          <w:color w:val="000000" w:themeColor="text1"/>
          <w:kern w:val="0"/>
          <w:sz w:val="32"/>
          <w:szCs w:val="32"/>
          <w:lang w:val="en-US" w:eastAsia="zh-CN"/>
          <w14:textFill>
            <w14:solidFill>
              <w14:schemeClr w14:val="tx1"/>
            </w14:solidFill>
          </w14:textFill>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电话:</w:t>
      </w:r>
      <w:r>
        <w:rPr>
          <w:rFonts w:hint="eastAsia" w:ascii="仿宋" w:hAnsi="仿宋" w:eastAsia="仿宋" w:cs="仿宋"/>
          <w:color w:val="555555"/>
          <w:kern w:val="0"/>
          <w:sz w:val="32"/>
          <w:szCs w:val="32"/>
          <w:lang w:val="en-US" w:eastAsia="zh-CN"/>
        </w:rPr>
        <w:t>0833-3211269</w:t>
      </w:r>
    </w:p>
    <w:p>
      <w:pPr>
        <w:ind w:firstLine="640" w:firstLineChars="200"/>
        <w:rPr>
          <w:rFonts w:hint="eastAsia" w:ascii="黑体" w:hAnsi="黑体" w:eastAsia="黑体" w:cs="黑体"/>
          <w:b/>
          <w:bCs/>
          <w:color w:val="auto"/>
          <w:sz w:val="72"/>
          <w:szCs w:val="72"/>
          <w:lang w:val="en-US" w:eastAsia="zh-CN"/>
        </w:rPr>
      </w:pPr>
      <w:r>
        <w:rPr>
          <w:rFonts w:hint="eastAsia" w:ascii="仿宋" w:hAnsi="仿宋" w:eastAsia="仿宋" w:cs="仿宋"/>
          <w:color w:val="555555"/>
          <w:kern w:val="0"/>
          <w:sz w:val="32"/>
          <w:szCs w:val="32"/>
          <w:lang w:val="en-US" w:eastAsia="zh-CN"/>
        </w:rPr>
        <w:t>项目联系人</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val="en-US" w:eastAsia="zh-CN"/>
        </w:rPr>
        <w:t xml:space="preserve">管老师      电话:0833-3345278 </w:t>
      </w: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w:t>
      </w:r>
      <w:r>
        <w:rPr>
          <w:rFonts w:hint="eastAsia" w:ascii="仿宋" w:hAnsi="仿宋" w:eastAsia="仿宋" w:cs="仿宋"/>
          <w:color w:val="000000" w:themeColor="text1"/>
          <w:kern w:val="0"/>
          <w:sz w:val="32"/>
          <w:szCs w:val="32"/>
          <w:lang w:val="en-US" w:eastAsia="zh-CN"/>
          <w14:textFill>
            <w14:solidFill>
              <w14:schemeClr w14:val="tx1"/>
            </w14:solidFill>
          </w14:textFill>
        </w:rPr>
        <w:t>四川省政府采购非招标采购方式实施办法》等有关法律、法规和规章，通过最低评分的方式确定成交供应商。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val="en-US" w:eastAsia="zh-CN"/>
        </w:rPr>
        <w:t>价格最低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val="en-US" w:eastAsia="zh-CN"/>
        </w:rPr>
        <w:t>价格最低</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25737"/>
      <w:bookmarkStart w:id="1" w:name="_Toc9490"/>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2449"/>
      <w:bookmarkStart w:id="5" w:name="_Toc17549"/>
      <w:bookmarkStart w:id="6" w:name="_Toc439699516"/>
      <w:bookmarkStart w:id="7" w:name="_Toc4003"/>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302"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3</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4</w:t>
            </w:r>
          </w:p>
        </w:tc>
        <w:tc>
          <w:tcPr>
            <w:tcW w:w="3176"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提供本项目技术参数中具备污水废气检测相关资质</w:t>
            </w:r>
          </w:p>
        </w:tc>
        <w:tc>
          <w:tcPr>
            <w:tcW w:w="512" w:type="pct"/>
            <w:noWrap w:val="0"/>
            <w:vAlign w:val="center"/>
          </w:tcPr>
          <w:p>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5</w:t>
            </w:r>
          </w:p>
        </w:tc>
        <w:tc>
          <w:tcPr>
            <w:tcW w:w="3176" w:type="pct"/>
            <w:noWrap w:val="0"/>
            <w:vAlign w:val="center"/>
          </w:tcPr>
          <w:p>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2021年以来的2个同类业绩</w:t>
            </w:r>
          </w:p>
        </w:tc>
        <w:tc>
          <w:tcPr>
            <w:tcW w:w="512" w:type="pct"/>
            <w:noWrap w:val="0"/>
            <w:vAlign w:val="center"/>
          </w:tcPr>
          <w:p>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5"/>
        <w:rPr>
          <w:rFonts w:hint="eastAsia" w:ascii="仿宋" w:hAnsi="仿宋" w:eastAsia="仿宋" w:cs="仿宋"/>
          <w:color w:val="auto"/>
          <w:sz w:val="30"/>
          <w:szCs w:val="30"/>
          <w:highlight w:val="none"/>
          <w:lang w:eastAsia="zh-CN"/>
        </w:rPr>
      </w:pPr>
    </w:p>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800"/>
      <w:bookmarkStart w:id="9" w:name="_Toc16184"/>
      <w:bookmarkStart w:id="10" w:name="_Toc12426"/>
      <w:bookmarkStart w:id="11" w:name="_Toc439699522"/>
      <w:bookmarkStart w:id="12" w:name="_Toc199"/>
      <w:bookmarkStart w:id="13" w:name="_Toc24199"/>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0000FF"/>
          <w:kern w:val="2"/>
          <w:sz w:val="32"/>
          <w:szCs w:val="32"/>
          <w:lang w:val="en-US" w:eastAsia="zh-CN"/>
        </w:rPr>
        <w:t>4</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00B0F0"/>
          <w:sz w:val="32"/>
          <w:szCs w:val="32"/>
          <w:lang w:val="en-US" w:eastAsia="zh-CN"/>
        </w:rPr>
        <w:t>技术参数要求</w:t>
      </w:r>
      <w:r>
        <w:rPr>
          <w:rFonts w:hint="eastAsia" w:ascii="仿宋" w:hAnsi="仿宋" w:eastAsia="仿宋" w:cs="仿宋"/>
          <w:color w:val="FF0000"/>
          <w:sz w:val="32"/>
          <w:szCs w:val="32"/>
          <w:lang w:val="en-US" w:eastAsia="zh-CN"/>
        </w:rPr>
        <w:t>：</w:t>
      </w:r>
    </w:p>
    <w:tbl>
      <w:tblPr>
        <w:tblStyle w:val="17"/>
        <w:tblpPr w:leftFromText="180" w:rightFromText="180" w:vertAnchor="text" w:horzAnchor="page" w:tblpX="1647" w:tblpY="280"/>
        <w:tblOverlap w:val="never"/>
        <w:tblW w:w="9449" w:type="dxa"/>
        <w:tblInd w:w="0" w:type="dxa"/>
        <w:tblLayout w:type="fixed"/>
        <w:tblCellMar>
          <w:top w:w="0" w:type="dxa"/>
          <w:left w:w="108" w:type="dxa"/>
          <w:bottom w:w="0" w:type="dxa"/>
          <w:right w:w="108" w:type="dxa"/>
        </w:tblCellMar>
      </w:tblPr>
      <w:tblGrid>
        <w:gridCol w:w="1112"/>
        <w:gridCol w:w="3533"/>
        <w:gridCol w:w="2484"/>
        <w:gridCol w:w="2320"/>
      </w:tblGrid>
      <w:tr>
        <w:tblPrEx>
          <w:tblCellMar>
            <w:top w:w="0" w:type="dxa"/>
            <w:left w:w="108" w:type="dxa"/>
            <w:bottom w:w="0" w:type="dxa"/>
            <w:right w:w="108" w:type="dxa"/>
          </w:tblCellMar>
        </w:tblPrEx>
        <w:trPr>
          <w:trHeight w:val="643"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lang w:bidi="ar"/>
              </w:rPr>
              <w:t>检测内容</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lang w:bidi="ar"/>
              </w:rPr>
              <w:t>检测项目</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0"/>
                <w:sz w:val="32"/>
                <w:szCs w:val="32"/>
                <w:lang w:bidi="ar"/>
              </w:rPr>
              <w:t>频次</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年监测</w:t>
            </w:r>
          </w:p>
          <w:p>
            <w:pPr>
              <w:widowControl/>
              <w:jc w:val="center"/>
              <w:textAlignment w:val="center"/>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0"/>
                <w:sz w:val="32"/>
                <w:szCs w:val="32"/>
                <w:lang w:bidi="ar"/>
              </w:rPr>
              <w:t>次数（次）</w:t>
            </w:r>
          </w:p>
        </w:tc>
      </w:tr>
      <w:tr>
        <w:tblPrEx>
          <w:tblCellMar>
            <w:top w:w="0" w:type="dxa"/>
            <w:left w:w="108" w:type="dxa"/>
            <w:bottom w:w="0" w:type="dxa"/>
            <w:right w:w="108" w:type="dxa"/>
          </w:tblCellMar>
        </w:tblPrEx>
        <w:trPr>
          <w:trHeight w:val="632" w:hRule="atLeast"/>
        </w:trPr>
        <w:tc>
          <w:tcPr>
            <w:tcW w:w="1112"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废水</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color w:val="FF0000"/>
                <w:sz w:val="32"/>
                <w:szCs w:val="32"/>
              </w:rPr>
              <w:t>pH</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2次/日</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730</w:t>
            </w:r>
          </w:p>
        </w:tc>
      </w:tr>
      <w:tr>
        <w:tblPrEx>
          <w:tblCellMar>
            <w:top w:w="0" w:type="dxa"/>
            <w:left w:w="108" w:type="dxa"/>
            <w:bottom w:w="0" w:type="dxa"/>
            <w:right w:w="108" w:type="dxa"/>
          </w:tblCellMar>
        </w:tblPrEx>
        <w:trPr>
          <w:trHeight w:val="422" w:hRule="atLeast"/>
        </w:trPr>
        <w:tc>
          <w:tcPr>
            <w:tcW w:w="111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32"/>
                <w:szCs w:val="32"/>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悬浮物SS</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1次/周</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52</w:t>
            </w:r>
          </w:p>
        </w:tc>
      </w:tr>
      <w:tr>
        <w:tblPrEx>
          <w:tblCellMar>
            <w:top w:w="0" w:type="dxa"/>
            <w:left w:w="108" w:type="dxa"/>
            <w:bottom w:w="0" w:type="dxa"/>
            <w:right w:w="108" w:type="dxa"/>
          </w:tblCellMar>
        </w:tblPrEx>
        <w:trPr>
          <w:trHeight w:val="643" w:hRule="atLeast"/>
        </w:trPr>
        <w:tc>
          <w:tcPr>
            <w:tcW w:w="111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32"/>
                <w:szCs w:val="32"/>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五日生化需氧量BOD</w:t>
            </w:r>
            <w:r>
              <w:rPr>
                <w:rFonts w:hint="eastAsia" w:ascii="仿宋" w:hAnsi="仿宋" w:eastAsia="仿宋" w:cs="仿宋"/>
                <w:sz w:val="32"/>
                <w:szCs w:val="32"/>
                <w:vertAlign w:val="subscript"/>
              </w:rPr>
              <w:t>5</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1次/季度</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4</w:t>
            </w:r>
          </w:p>
        </w:tc>
      </w:tr>
      <w:tr>
        <w:tblPrEx>
          <w:tblCellMar>
            <w:top w:w="0" w:type="dxa"/>
            <w:left w:w="108" w:type="dxa"/>
            <w:bottom w:w="0" w:type="dxa"/>
            <w:right w:w="108" w:type="dxa"/>
          </w:tblCellMar>
        </w:tblPrEx>
        <w:trPr>
          <w:trHeight w:val="577" w:hRule="atLeast"/>
        </w:trPr>
        <w:tc>
          <w:tcPr>
            <w:tcW w:w="111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32"/>
                <w:szCs w:val="32"/>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化学需氧量COD</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1次/周</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52</w:t>
            </w:r>
          </w:p>
        </w:tc>
      </w:tr>
      <w:tr>
        <w:tblPrEx>
          <w:tblCellMar>
            <w:top w:w="0" w:type="dxa"/>
            <w:left w:w="108" w:type="dxa"/>
            <w:bottom w:w="0" w:type="dxa"/>
            <w:right w:w="108" w:type="dxa"/>
          </w:tblCellMar>
        </w:tblPrEx>
        <w:trPr>
          <w:trHeight w:val="572" w:hRule="atLeast"/>
        </w:trPr>
        <w:tc>
          <w:tcPr>
            <w:tcW w:w="111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32"/>
                <w:szCs w:val="32"/>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color w:val="FF0000"/>
                <w:sz w:val="32"/>
                <w:szCs w:val="32"/>
              </w:rPr>
              <w:t>粪大肠菌群</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1次/月</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12</w:t>
            </w:r>
          </w:p>
        </w:tc>
      </w:tr>
      <w:tr>
        <w:tblPrEx>
          <w:tblCellMar>
            <w:top w:w="0" w:type="dxa"/>
            <w:left w:w="108" w:type="dxa"/>
            <w:bottom w:w="0" w:type="dxa"/>
            <w:right w:w="108" w:type="dxa"/>
          </w:tblCellMar>
        </w:tblPrEx>
        <w:trPr>
          <w:trHeight w:val="643" w:hRule="atLeast"/>
        </w:trPr>
        <w:tc>
          <w:tcPr>
            <w:tcW w:w="111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32"/>
                <w:szCs w:val="32"/>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阴离子表面活性剂</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1次/季度</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4</w:t>
            </w:r>
          </w:p>
        </w:tc>
      </w:tr>
      <w:tr>
        <w:tblPrEx>
          <w:tblCellMar>
            <w:top w:w="0" w:type="dxa"/>
            <w:left w:w="108" w:type="dxa"/>
            <w:bottom w:w="0" w:type="dxa"/>
            <w:right w:w="108" w:type="dxa"/>
          </w:tblCellMar>
        </w:tblPrEx>
        <w:trPr>
          <w:trHeight w:val="574" w:hRule="atLeast"/>
        </w:trPr>
        <w:tc>
          <w:tcPr>
            <w:tcW w:w="111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32"/>
                <w:szCs w:val="32"/>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氨氮</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1次/月</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12</w:t>
            </w:r>
          </w:p>
        </w:tc>
      </w:tr>
      <w:tr>
        <w:tblPrEx>
          <w:tblCellMar>
            <w:top w:w="0" w:type="dxa"/>
            <w:left w:w="108" w:type="dxa"/>
            <w:bottom w:w="0" w:type="dxa"/>
            <w:right w:w="108" w:type="dxa"/>
          </w:tblCellMar>
        </w:tblPrEx>
        <w:trPr>
          <w:trHeight w:val="562" w:hRule="atLeast"/>
        </w:trPr>
        <w:tc>
          <w:tcPr>
            <w:tcW w:w="111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32"/>
                <w:szCs w:val="32"/>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动植物油</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1次/季度</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4</w:t>
            </w:r>
          </w:p>
        </w:tc>
      </w:tr>
      <w:tr>
        <w:tblPrEx>
          <w:tblCellMar>
            <w:top w:w="0" w:type="dxa"/>
            <w:left w:w="108" w:type="dxa"/>
            <w:bottom w:w="0" w:type="dxa"/>
            <w:right w:w="108" w:type="dxa"/>
          </w:tblCellMar>
        </w:tblPrEx>
        <w:trPr>
          <w:trHeight w:val="581" w:hRule="atLeast"/>
        </w:trPr>
        <w:tc>
          <w:tcPr>
            <w:tcW w:w="1112"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sz w:val="32"/>
                <w:szCs w:val="32"/>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挥发酚</w:t>
            </w:r>
          </w:p>
        </w:tc>
        <w:tc>
          <w:tcPr>
            <w:tcW w:w="2484"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1次/季度</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4</w:t>
            </w:r>
          </w:p>
        </w:tc>
      </w:tr>
      <w:tr>
        <w:tblPrEx>
          <w:tblCellMar>
            <w:top w:w="0" w:type="dxa"/>
            <w:left w:w="108" w:type="dxa"/>
            <w:bottom w:w="0" w:type="dxa"/>
            <w:right w:w="108" w:type="dxa"/>
          </w:tblCellMar>
        </w:tblPrEx>
        <w:trPr>
          <w:trHeight w:val="884"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废气</w:t>
            </w:r>
          </w:p>
        </w:tc>
        <w:tc>
          <w:tcPr>
            <w:tcW w:w="3533" w:type="dxa"/>
            <w:tcBorders>
              <w:top w:val="single" w:color="000000" w:sz="4" w:space="0"/>
              <w:left w:val="single" w:color="auto" w:sz="4" w:space="0"/>
              <w:bottom w:val="single" w:color="auto"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甲烷、臭气浓度、氨（氨气）、氯气、硫化氢</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1次/季</w:t>
            </w:r>
          </w:p>
        </w:tc>
        <w:tc>
          <w:tcPr>
            <w:tcW w:w="232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仿宋" w:hAnsi="仿宋" w:eastAsia="仿宋" w:cs="仿宋"/>
                <w:sz w:val="32"/>
                <w:szCs w:val="32"/>
              </w:rPr>
            </w:pPr>
            <w:r>
              <w:rPr>
                <w:rFonts w:hint="eastAsia" w:ascii="仿宋" w:hAnsi="仿宋" w:eastAsia="仿宋" w:cs="仿宋"/>
                <w:sz w:val="32"/>
                <w:szCs w:val="32"/>
              </w:rPr>
              <w:t>4</w:t>
            </w:r>
          </w:p>
          <w:p>
            <w:pPr>
              <w:jc w:val="center"/>
              <w:rPr>
                <w:rFonts w:hint="eastAsia" w:ascii="仿宋" w:hAnsi="仿宋" w:eastAsia="仿宋" w:cs="仿宋"/>
                <w:sz w:val="32"/>
                <w:szCs w:val="32"/>
              </w:rPr>
            </w:pPr>
          </w:p>
        </w:tc>
      </w:tr>
    </w:tbl>
    <w:p>
      <w:pPr>
        <w:pStyle w:val="16"/>
        <w:numPr>
          <w:ilvl w:val="0"/>
          <w:numId w:val="0"/>
        </w:numPr>
        <w:spacing w:line="240" w:lineRule="auto"/>
        <w:ind w:leftChars="0"/>
        <w:rPr>
          <w:rFonts w:hint="eastAsia" w:ascii="仿宋" w:hAnsi="仿宋" w:eastAsia="仿宋" w:cs="仿宋"/>
          <w:color w:val="FF0000"/>
          <w:sz w:val="32"/>
          <w:szCs w:val="32"/>
          <w:lang w:val="en-US" w:eastAsia="zh-CN"/>
        </w:rPr>
      </w:pPr>
    </w:p>
    <w:p>
      <w:pPr>
        <w:pStyle w:val="16"/>
        <w:numPr>
          <w:ilvl w:val="0"/>
          <w:numId w:val="0"/>
        </w:numPr>
        <w:spacing w:line="240" w:lineRule="auto"/>
        <w:ind w:leftChars="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商务要求：</w:t>
      </w:r>
    </w:p>
    <w:p>
      <w:pPr>
        <w:pStyle w:val="16"/>
        <w:numPr>
          <w:ilvl w:val="0"/>
          <w:numId w:val="0"/>
        </w:numPr>
        <w:spacing w:line="240" w:lineRule="auto"/>
        <w:ind w:left="630" w:leftChars="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1.服务时间：3年，根据情况合同一年一签，双方友好协商可续签。</w:t>
      </w:r>
    </w:p>
    <w:p>
      <w:pPr>
        <w:pStyle w:val="16"/>
        <w:numPr>
          <w:ilvl w:val="0"/>
          <w:numId w:val="0"/>
        </w:numPr>
        <w:spacing w:line="240" w:lineRule="auto"/>
        <w:ind w:left="0" w:leftChars="0" w:firstLine="630" w:firstLineChars="197"/>
        <w:rPr>
          <w:rFonts w:hint="eastAsia" w:ascii="仿宋" w:hAnsi="仿宋" w:eastAsia="仿宋" w:cs="仿宋"/>
          <w:color w:val="00B0F0"/>
          <w:sz w:val="32"/>
          <w:szCs w:val="32"/>
          <w:lang w:val="en-US" w:eastAsia="zh-CN"/>
        </w:rPr>
      </w:pPr>
      <w:r>
        <w:rPr>
          <w:rFonts w:hint="eastAsia" w:ascii="仿宋" w:hAnsi="仿宋" w:eastAsia="仿宋" w:cs="仿宋"/>
          <w:color w:val="FF0000"/>
          <w:sz w:val="32"/>
          <w:szCs w:val="32"/>
          <w:lang w:val="en-US" w:eastAsia="zh-CN"/>
        </w:rPr>
        <w:t>2.服务要求：</w:t>
      </w:r>
      <w:r>
        <w:rPr>
          <w:rFonts w:hint="eastAsia" w:ascii="仿宋" w:hAnsi="仿宋" w:eastAsia="仿宋" w:cs="仿宋"/>
          <w:color w:val="00B0F0"/>
          <w:sz w:val="32"/>
          <w:szCs w:val="32"/>
          <w:lang w:val="en-US" w:eastAsia="zh-CN"/>
        </w:rPr>
        <w:t>根据检测频次要求，按时检测，并在检查完毕后及时提供检测报告。</w:t>
      </w:r>
    </w:p>
    <w:p>
      <w:pPr>
        <w:pStyle w:val="16"/>
        <w:numPr>
          <w:ilvl w:val="0"/>
          <w:numId w:val="0"/>
        </w:numPr>
        <w:spacing w:line="240" w:lineRule="auto"/>
        <w:ind w:left="-8" w:leftChars="-4" w:firstLine="640" w:firstLineChars="200"/>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3.履约要求：达到国家现行技术规范，符合验收标准。供应商应根据国家和省、市有关法规、政策、文件，以及有关现行规范标准规定，节约投资的原则，科学、客观、公正地开展检测工作。</w:t>
      </w:r>
    </w:p>
    <w:p>
      <w:pPr>
        <w:pStyle w:val="16"/>
        <w:numPr>
          <w:ilvl w:val="0"/>
          <w:numId w:val="0"/>
        </w:numPr>
        <w:spacing w:line="240" w:lineRule="auto"/>
        <w:ind w:left="0" w:leftChars="0" w:firstLine="630" w:firstLineChars="197"/>
        <w:rPr>
          <w:rFonts w:hint="eastAsia" w:ascii="仿宋" w:hAnsi="仿宋" w:eastAsia="仿宋" w:cs="仿宋"/>
          <w:color w:val="00B0F0"/>
          <w:sz w:val="32"/>
          <w:szCs w:val="32"/>
          <w:lang w:val="en-US" w:eastAsia="zh-CN"/>
        </w:rPr>
      </w:pPr>
      <w:r>
        <w:rPr>
          <w:rFonts w:hint="eastAsia" w:ascii="仿宋" w:hAnsi="仿宋" w:eastAsia="仿宋" w:cs="仿宋"/>
          <w:color w:val="FF0000"/>
          <w:sz w:val="32"/>
          <w:szCs w:val="32"/>
          <w:lang w:val="en-US" w:eastAsia="zh-CN"/>
        </w:rPr>
        <w:t>4.付款方式：</w:t>
      </w:r>
      <w:r>
        <w:rPr>
          <w:rFonts w:hint="eastAsia" w:ascii="仿宋" w:hAnsi="仿宋" w:eastAsia="仿宋" w:cs="仿宋"/>
          <w:color w:val="00B0F0"/>
          <w:sz w:val="32"/>
          <w:szCs w:val="32"/>
          <w:lang w:val="en-US" w:eastAsia="zh-CN"/>
        </w:rPr>
        <w:t>年付。每年12月31日完成全年检测项目后提供全年检测费用清单。</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3"/>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jQ3NjQzNjBhMjc1NTk2MjAxYjdlZWIyOWJmNmE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694260"/>
    <w:rsid w:val="0A5766D2"/>
    <w:rsid w:val="0B5B6EA7"/>
    <w:rsid w:val="0B9B184D"/>
    <w:rsid w:val="0BBF2600"/>
    <w:rsid w:val="0C3E61B9"/>
    <w:rsid w:val="0DA12370"/>
    <w:rsid w:val="0DBF0EC4"/>
    <w:rsid w:val="0DE40DBE"/>
    <w:rsid w:val="0E672DB3"/>
    <w:rsid w:val="0E904937"/>
    <w:rsid w:val="0E9E1831"/>
    <w:rsid w:val="0EAB0093"/>
    <w:rsid w:val="0F225786"/>
    <w:rsid w:val="0F932F2F"/>
    <w:rsid w:val="0FCE2C6B"/>
    <w:rsid w:val="107F49DA"/>
    <w:rsid w:val="11103FB2"/>
    <w:rsid w:val="11106DD4"/>
    <w:rsid w:val="113065C7"/>
    <w:rsid w:val="11551C0D"/>
    <w:rsid w:val="11630C29"/>
    <w:rsid w:val="12374305"/>
    <w:rsid w:val="12AB3D92"/>
    <w:rsid w:val="132D67B3"/>
    <w:rsid w:val="13320F8E"/>
    <w:rsid w:val="13E72023"/>
    <w:rsid w:val="150E446A"/>
    <w:rsid w:val="159705C2"/>
    <w:rsid w:val="17294232"/>
    <w:rsid w:val="182F44F3"/>
    <w:rsid w:val="184E41FF"/>
    <w:rsid w:val="1865790E"/>
    <w:rsid w:val="189E6B7E"/>
    <w:rsid w:val="18E41C4F"/>
    <w:rsid w:val="18EA25BB"/>
    <w:rsid w:val="193B3817"/>
    <w:rsid w:val="19497A6B"/>
    <w:rsid w:val="19552FF2"/>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552AFD"/>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306EB2"/>
    <w:rsid w:val="34607C42"/>
    <w:rsid w:val="34AD3121"/>
    <w:rsid w:val="35850C85"/>
    <w:rsid w:val="358537EA"/>
    <w:rsid w:val="36206E51"/>
    <w:rsid w:val="3645059F"/>
    <w:rsid w:val="36FA0C0E"/>
    <w:rsid w:val="37124698"/>
    <w:rsid w:val="37564C34"/>
    <w:rsid w:val="37AF0C3F"/>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B91D0A"/>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0F5396"/>
    <w:rsid w:val="507610B4"/>
    <w:rsid w:val="508E2B4E"/>
    <w:rsid w:val="524A480D"/>
    <w:rsid w:val="5263348D"/>
    <w:rsid w:val="527E7420"/>
    <w:rsid w:val="5292301A"/>
    <w:rsid w:val="52C10CD7"/>
    <w:rsid w:val="52F64CB8"/>
    <w:rsid w:val="52FB39A7"/>
    <w:rsid w:val="531641E9"/>
    <w:rsid w:val="5446604D"/>
    <w:rsid w:val="547E1AE0"/>
    <w:rsid w:val="54F554AC"/>
    <w:rsid w:val="551A0D5D"/>
    <w:rsid w:val="55EC1659"/>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DEF6DF4"/>
    <w:rsid w:val="5F0E08C6"/>
    <w:rsid w:val="5F5075CA"/>
    <w:rsid w:val="5F7007A2"/>
    <w:rsid w:val="5F85487D"/>
    <w:rsid w:val="5FB650D9"/>
    <w:rsid w:val="6096215E"/>
    <w:rsid w:val="62B86D17"/>
    <w:rsid w:val="62C824CA"/>
    <w:rsid w:val="62F97B3B"/>
    <w:rsid w:val="642A2386"/>
    <w:rsid w:val="64677320"/>
    <w:rsid w:val="6515623A"/>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8B0E30"/>
    <w:rsid w:val="6DCF5925"/>
    <w:rsid w:val="6E383ABA"/>
    <w:rsid w:val="6E8B493F"/>
    <w:rsid w:val="6EA3545A"/>
    <w:rsid w:val="6EA67E69"/>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A13490"/>
    <w:rsid w:val="78E831F4"/>
    <w:rsid w:val="79AC141B"/>
    <w:rsid w:val="79B51E35"/>
    <w:rsid w:val="79EA27D4"/>
    <w:rsid w:val="7AC008B8"/>
    <w:rsid w:val="7AE23540"/>
    <w:rsid w:val="7C29457B"/>
    <w:rsid w:val="7C7B14B5"/>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autoRedefine/>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autoRedefine/>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autoRedefine/>
    <w:qFormat/>
    <w:uiPriority w:val="0"/>
    <w:pPr>
      <w:keepNext/>
      <w:keepLines/>
      <w:spacing w:before="260" w:after="260" w:line="416" w:lineRule="auto"/>
      <w:outlineLvl w:val="2"/>
    </w:pPr>
    <w:rPr>
      <w:b/>
      <w:bCs/>
      <w:kern w:val="0"/>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after="120" w:afterLines="0" w:afterAutospacing="0"/>
    </w:pPr>
  </w:style>
  <w:style w:type="paragraph" w:styleId="6">
    <w:name w:val="Quote"/>
    <w:basedOn w:val="1"/>
    <w:next w:val="1"/>
    <w:autoRedefine/>
    <w:qFormat/>
    <w:uiPriority w:val="0"/>
    <w:rPr>
      <w:i/>
      <w:iCs/>
      <w:color w:val="000000"/>
      <w:szCs w:val="22"/>
    </w:rPr>
  </w:style>
  <w:style w:type="paragraph" w:styleId="7">
    <w:name w:val="Body Text Indent"/>
    <w:basedOn w:val="1"/>
    <w:next w:val="8"/>
    <w:autoRedefine/>
    <w:qFormat/>
    <w:uiPriority w:val="0"/>
    <w:pPr>
      <w:spacing w:after="120" w:afterLines="0"/>
      <w:ind w:left="420" w:leftChars="200"/>
    </w:pPr>
  </w:style>
  <w:style w:type="paragraph" w:styleId="8">
    <w:name w:val="envelope return"/>
    <w:basedOn w:val="1"/>
    <w:autoRedefine/>
    <w:qFormat/>
    <w:uiPriority w:val="0"/>
    <w:pPr>
      <w:snapToGrid w:val="0"/>
    </w:pPr>
    <w:rPr>
      <w:rFonts w:ascii="Arial" w:hAnsi="Arial"/>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ascii="宋体" w:hAnsi="Courier New"/>
      <w:szCs w:val="20"/>
    </w:rPr>
  </w:style>
  <w:style w:type="paragraph" w:styleId="11">
    <w:name w:val="Body Text Indent 2"/>
    <w:basedOn w:val="1"/>
    <w:autoRedefine/>
    <w:qFormat/>
    <w:uiPriority w:val="0"/>
    <w:pPr>
      <w:spacing w:after="120"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tabs>
        <w:tab w:val="right" w:leader="dot" w:pos="9628"/>
      </w:tabs>
      <w:spacing w:line="360" w:lineRule="auto"/>
      <w:jc w:val="center"/>
    </w:pPr>
  </w:style>
  <w:style w:type="paragraph" w:styleId="1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autoRedefine/>
    <w:qFormat/>
    <w:uiPriority w:val="0"/>
    <w:pPr>
      <w:ind w:firstLine="420" w:firstLineChars="100"/>
    </w:pPr>
    <w:rPr>
      <w:rFonts w:ascii="Times New Roman" w:hAnsi="Times New Roman" w:eastAsia="宋体" w:cs="Times New Roman"/>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autoRedefine/>
    <w:qFormat/>
    <w:uiPriority w:val="0"/>
    <w:rPr>
      <w:color w:val="0000FF"/>
      <w:u w:val="single"/>
    </w:rPr>
  </w:style>
  <w:style w:type="character" w:customStyle="1" w:styleId="22">
    <w:name w:val="标题 1 Char"/>
    <w:link w:val="2"/>
    <w:autoRedefine/>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autoRedefine/>
    <w:qFormat/>
    <w:uiPriority w:val="0"/>
    <w:pPr>
      <w:spacing w:line="360" w:lineRule="auto"/>
      <w:ind w:firstLine="200" w:firstLineChars="200"/>
    </w:pPr>
  </w:style>
  <w:style w:type="character" w:customStyle="1" w:styleId="24">
    <w:name w:val="font21"/>
    <w:basedOn w:val="19"/>
    <w:autoRedefine/>
    <w:qFormat/>
    <w:uiPriority w:val="0"/>
    <w:rPr>
      <w:rFonts w:ascii="Calibri" w:hAnsi="Calibri" w:cs="Calibri"/>
      <w:color w:val="000000"/>
      <w:sz w:val="18"/>
      <w:szCs w:val="18"/>
      <w:u w:val="none"/>
    </w:rPr>
  </w:style>
  <w:style w:type="character" w:customStyle="1" w:styleId="25">
    <w:name w:val="font01"/>
    <w:basedOn w:val="19"/>
    <w:autoRedefine/>
    <w:qFormat/>
    <w:uiPriority w:val="0"/>
    <w:rPr>
      <w:rFonts w:hint="eastAsia" w:ascii="宋体" w:hAnsi="宋体" w:eastAsia="宋体" w:cs="宋体"/>
      <w:color w:val="000000"/>
      <w:sz w:val="18"/>
      <w:szCs w:val="18"/>
      <w:u w:val="none"/>
    </w:rPr>
  </w:style>
  <w:style w:type="paragraph" w:styleId="26">
    <w:name w:val="List Paragraph"/>
    <w:basedOn w:val="1"/>
    <w:autoRedefine/>
    <w:qFormat/>
    <w:uiPriority w:val="34"/>
    <w:pPr>
      <w:ind w:firstLine="420" w:firstLineChars="200"/>
    </w:pPr>
    <w:rPr>
      <w:rFonts w:ascii="Calibri" w:hAnsi="Calibri" w:eastAsia="宋体" w:cs="Times New Roman"/>
      <w:sz w:val="21"/>
      <w:szCs w:val="22"/>
    </w:rPr>
  </w:style>
  <w:style w:type="paragraph" w:customStyle="1" w:styleId="27">
    <w:name w:val="文章正文"/>
    <w:basedOn w:val="1"/>
    <w:autoRedefine/>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autoRedefine/>
    <w:qFormat/>
    <w:uiPriority w:val="34"/>
    <w:pPr>
      <w:ind w:firstLine="420" w:firstLineChars="200"/>
    </w:pPr>
  </w:style>
  <w:style w:type="paragraph" w:customStyle="1" w:styleId="2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5333</Words>
  <Characters>5493</Characters>
  <Lines>0</Lines>
  <Paragraphs>0</Paragraphs>
  <TotalTime>0</TotalTime>
  <ScaleCrop>false</ScaleCrop>
  <LinksUpToDate>false</LinksUpToDate>
  <CharactersWithSpaces>5683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WPS_1688969467</cp:lastModifiedBy>
  <cp:lastPrinted>2024-03-07T02:13:00Z</cp:lastPrinted>
  <dcterms:modified xsi:type="dcterms:W3CDTF">2024-05-22T06:43:59Z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569C38F47D144E78838A54F96D12EC06_13</vt:lpwstr>
  </property>
</Properties>
</file>