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eastAsia="zh-CN"/>
        </w:rPr>
      </w:pPr>
      <w:bookmarkStart w:id="16" w:name="_GoBack"/>
      <w:bookmarkEnd w:id="16"/>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w:t>
      </w:r>
    </w:p>
    <w:p>
      <w:pPr>
        <w:pStyle w:val="7"/>
        <w:rPr>
          <w:rFonts w:hint="eastAsia" w:ascii="黑体" w:hAnsi="黑体" w:eastAsia="黑体" w:cs="黑体"/>
          <w:lang w:eastAsia="zh-CN"/>
        </w:rPr>
      </w:pPr>
    </w:p>
    <w:p>
      <w:pPr>
        <w:jc w:val="center"/>
        <w:rPr>
          <w:rFonts w:hint="eastAsia" w:ascii="黑体" w:hAnsi="黑体" w:eastAsia="黑体" w:cs="黑体"/>
          <w:sz w:val="32"/>
          <w:szCs w:val="32"/>
          <w:lang w:eastAsia="zh-CN"/>
        </w:rPr>
      </w:pPr>
      <w:r>
        <w:rPr>
          <w:rFonts w:hint="eastAsia" w:ascii="黑体" w:hAnsi="黑体" w:eastAsia="黑体" w:cs="黑体"/>
          <w:sz w:val="52"/>
          <w:szCs w:val="52"/>
          <w:lang w:val="en-US" w:eastAsia="zh-CN"/>
        </w:rPr>
        <w:t>采购</w:t>
      </w:r>
      <w:r>
        <w:rPr>
          <w:rFonts w:hint="eastAsia" w:ascii="黑体" w:hAnsi="黑体" w:eastAsia="黑体" w:cs="黑体"/>
          <w:sz w:val="52"/>
          <w:szCs w:val="52"/>
          <w:lang w:eastAsia="zh-CN"/>
        </w:rPr>
        <w:t>文件</w:t>
      </w: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40"/>
          <w:szCs w:val="40"/>
          <w:lang w:eastAsia="zh-CN"/>
        </w:rPr>
      </w:pPr>
    </w:p>
    <w:p>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项目名称：医务人员冬季工作服采购</w:t>
      </w:r>
    </w:p>
    <w:p>
      <w:pPr>
        <w:pStyle w:val="7"/>
        <w:rPr>
          <w:rFonts w:hint="eastAsia" w:ascii="黑体" w:hAnsi="黑体" w:eastAsia="黑体" w:cs="黑体"/>
          <w:lang w:val="en-US" w:eastAsia="zh-CN"/>
        </w:rPr>
      </w:pPr>
    </w:p>
    <w:p>
      <w:pPr>
        <w:jc w:val="center"/>
        <w:rPr>
          <w:rFonts w:hint="eastAsia" w:ascii="黑体" w:hAnsi="黑体" w:eastAsia="黑体" w:cs="黑体"/>
          <w:sz w:val="40"/>
          <w:szCs w:val="40"/>
          <w:lang w:val="en-US" w:eastAsia="zh-CN"/>
        </w:rPr>
      </w:pPr>
      <w:r>
        <w:rPr>
          <w:rFonts w:hint="eastAsia" w:ascii="黑体" w:hAnsi="黑体" w:eastAsia="黑体" w:cs="黑体"/>
          <w:sz w:val="40"/>
          <w:szCs w:val="40"/>
          <w:lang w:eastAsia="zh-CN"/>
        </w:rPr>
        <w:t>项目编号：</w:t>
      </w:r>
      <w:r>
        <w:rPr>
          <w:rFonts w:hint="eastAsia" w:ascii="黑体" w:hAnsi="黑体" w:eastAsia="黑体" w:cs="黑体"/>
          <w:sz w:val="40"/>
          <w:szCs w:val="40"/>
          <w:lang w:val="en-US" w:eastAsia="zh-CN"/>
        </w:rPr>
        <w:t>YNCG012</w:t>
      </w: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2023年 10 月</w:t>
      </w:r>
      <w:r>
        <w:rPr>
          <w:rFonts w:hint="eastAsia" w:ascii="黑体" w:hAnsi="黑体" w:eastAsia="黑体" w:cs="黑体"/>
          <w:sz w:val="40"/>
          <w:szCs w:val="40"/>
          <w:lang w:eastAsia="zh-CN"/>
        </w:rPr>
        <w:br w:type="page"/>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pPr>
        <w:jc w:val="center"/>
        <w:rPr>
          <w:rFonts w:hint="eastAsia" w:ascii="黑体" w:hAnsi="黑体" w:eastAsia="黑体" w:cs="黑体"/>
          <w:sz w:val="36"/>
          <w:szCs w:val="36"/>
          <w:lang w:eastAsia="zh-CN"/>
        </w:rPr>
      </w:pPr>
      <w:r>
        <w:rPr>
          <w:rFonts w:hint="eastAsia" w:ascii="黑体" w:hAnsi="黑体" w:eastAsia="黑体" w:cs="黑体"/>
          <w:sz w:val="36"/>
          <w:szCs w:val="36"/>
          <w:lang w:val="en-US" w:eastAsia="zh-CN"/>
        </w:rPr>
        <w:t>医务人员冬季工作服</w:t>
      </w:r>
      <w:r>
        <w:rPr>
          <w:rFonts w:hint="eastAsia" w:ascii="黑体" w:hAnsi="黑体" w:eastAsia="黑体" w:cs="黑体"/>
          <w:sz w:val="36"/>
          <w:szCs w:val="36"/>
          <w:lang w:eastAsia="zh-CN"/>
        </w:rPr>
        <w:t>院内采购公告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eastAsia="zh-CN"/>
        </w:rPr>
        <w:t>项目采购编号：</w:t>
      </w:r>
      <w:r>
        <w:rPr>
          <w:rFonts w:hint="eastAsia" w:ascii="仿宋" w:hAnsi="仿宋" w:eastAsia="仿宋" w:cs="仿宋"/>
          <w:color w:val="555555"/>
          <w:kern w:val="0"/>
          <w:sz w:val="32"/>
          <w:szCs w:val="32"/>
          <w:lang w:val="en-US" w:eastAsia="zh-CN"/>
        </w:rPr>
        <w:t>YNCG012</w:t>
      </w:r>
    </w:p>
    <w:p>
      <w:pPr>
        <w:pStyle w:val="16"/>
        <w:spacing w:line="240" w:lineRule="auto"/>
        <w:rPr>
          <w:rFonts w:hint="default"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二、项目背景：医护人员统一着装，提升医疗机构工作人员形象。</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三、采购项目内容（详细要求请看附件）：医务人员冬季工作服</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参加采购的供应商数量：三家及以上；在乐山市五通桥区人民医院官方网站上发布公告（https://www.wtqqrmyy.com/）；本项目若有补遗或更正公告会在官网上发布，请参加采购的供应商随时关注；若因以上原因造成的损失由供应商自行负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eastAsia="zh-CN"/>
        </w:rPr>
        <w:t>五、供应商参加本次采购活动提交资料中，具备以下要求：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555555"/>
          <w:kern w:val="0"/>
          <w:sz w:val="32"/>
          <w:szCs w:val="32"/>
          <w:lang w:val="en-US" w:eastAsia="zh-CN"/>
        </w:rPr>
        <w:t>1.具有独立承担民事责任的能力；依法缴纳税收和社会保障资金的良好记录。</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2.具有良好的商业制度和健全的财务制度；履行合同所必须的设备和专业技术能力。</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3.参加本次采购活动前三年内，在经营活动中没有重大违法记录。</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4.</w:t>
      </w:r>
      <w:r>
        <w:rPr>
          <w:rFonts w:hint="eastAsia" w:ascii="仿宋" w:hAnsi="仿宋" w:eastAsia="仿宋" w:cs="仿宋"/>
          <w:color w:val="555555"/>
          <w:kern w:val="0"/>
          <w:sz w:val="32"/>
          <w:szCs w:val="32"/>
        </w:rPr>
        <w:t>公司的营业执照（</w:t>
      </w:r>
      <w:r>
        <w:rPr>
          <w:rFonts w:hint="eastAsia" w:ascii="仿宋" w:hAnsi="仿宋" w:eastAsia="仿宋" w:cs="仿宋"/>
          <w:color w:val="555555"/>
          <w:kern w:val="0"/>
          <w:sz w:val="32"/>
          <w:szCs w:val="32"/>
          <w:lang w:eastAsia="zh-CN"/>
        </w:rPr>
        <w:t>三证合一</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eastAsia="zh-CN"/>
        </w:rPr>
        <w:t>复印件</w:t>
      </w:r>
      <w:r>
        <w:rPr>
          <w:rFonts w:hint="eastAsia" w:ascii="仿宋" w:hAnsi="仿宋" w:eastAsia="仿宋" w:cs="仿宋"/>
          <w:color w:val="555555"/>
          <w:kern w:val="0"/>
          <w:sz w:val="32"/>
          <w:szCs w:val="32"/>
        </w:rPr>
        <w:t>加盖鲜章</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法定代表人授权委托书（法定代表人参与的须提供法定代表人证明书）</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法定代表人和授权代表的身份证</w:t>
      </w:r>
      <w:r>
        <w:rPr>
          <w:rFonts w:hint="eastAsia" w:ascii="仿宋" w:hAnsi="仿宋" w:eastAsia="仿宋" w:cs="仿宋"/>
          <w:color w:val="555555"/>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5.报价以及资料，采购响应文件封面请注明项目名称、联系人、联系电话、自行密封并加盖公章。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以上资料至少2套，请满足上述资质要求的供应商于</w:t>
      </w:r>
      <w:r>
        <w:rPr>
          <w:rFonts w:hint="eastAsia" w:ascii="仿宋" w:hAnsi="仿宋" w:eastAsia="仿宋" w:cs="仿宋"/>
          <w:color w:val="FF0000"/>
          <w:kern w:val="0"/>
          <w:sz w:val="32"/>
          <w:szCs w:val="32"/>
          <w:lang w:val="en-US" w:eastAsia="zh-CN"/>
        </w:rPr>
        <w:t>2023年10月 26日17:00</w:t>
      </w:r>
      <w:r>
        <w:rPr>
          <w:rFonts w:hint="eastAsia" w:ascii="仿宋" w:hAnsi="仿宋" w:eastAsia="仿宋" w:cs="仿宋"/>
          <w:color w:val="555555"/>
          <w:kern w:val="0"/>
          <w:sz w:val="32"/>
          <w:szCs w:val="32"/>
          <w:lang w:val="en-US" w:eastAsia="zh-CN"/>
        </w:rPr>
        <w:t>之前将资料送至乐山市五通桥区人民医院采购办（行政楼三楼楼梯处），在截至时间以后送到的询价响应文件将被拒绝并退还给供应商。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六、其他要求（参加采购的供应商视为全部接受以下条款）</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1.方案报价在60日内有效，报价包括文件编制、差旅、人工等费用。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2.在供应商满足相关资质要求及服务要求的条件下，采购采用</w:t>
      </w:r>
      <w:r>
        <w:rPr>
          <w:rFonts w:hint="eastAsia" w:ascii="仿宋" w:hAnsi="仿宋" w:eastAsia="仿宋" w:cs="仿宋"/>
          <w:color w:val="FF0000"/>
          <w:kern w:val="0"/>
          <w:sz w:val="32"/>
          <w:szCs w:val="32"/>
          <w:lang w:val="en-US" w:eastAsia="zh-CN"/>
        </w:rPr>
        <w:t>综合评分法</w:t>
      </w:r>
      <w:r>
        <w:rPr>
          <w:rFonts w:hint="eastAsia" w:ascii="仿宋" w:hAnsi="仿宋" w:eastAsia="仿宋" w:cs="仿宋"/>
          <w:color w:val="555555"/>
          <w:kern w:val="0"/>
          <w:sz w:val="32"/>
          <w:szCs w:val="32"/>
          <w:lang w:val="en-US" w:eastAsia="zh-CN"/>
        </w:rPr>
        <w:t>，中标结果由医院网站公示，中标公司请在公示后30日内到采购办签订合同，超过公示期内视为放弃中标资格。</w:t>
      </w:r>
    </w:p>
    <w:p>
      <w:pPr>
        <w:pStyle w:val="16"/>
        <w:spacing w:line="240" w:lineRule="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3.本项目不接受联合体。</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rPr>
        <w:t>联系人:</w:t>
      </w:r>
      <w:r>
        <w:rPr>
          <w:rFonts w:hint="eastAsia" w:ascii="仿宋" w:hAnsi="仿宋" w:eastAsia="仿宋" w:cs="仿宋"/>
          <w:color w:val="555555"/>
          <w:kern w:val="0"/>
          <w:sz w:val="32"/>
          <w:szCs w:val="32"/>
          <w:lang w:eastAsia="zh-CN"/>
        </w:rPr>
        <w:t>徐老师</w:t>
      </w:r>
      <w:r>
        <w:rPr>
          <w:rFonts w:hint="eastAsia" w:ascii="仿宋" w:hAnsi="仿宋" w:eastAsia="仿宋" w:cs="仿宋"/>
          <w:color w:val="555555"/>
          <w:kern w:val="0"/>
          <w:sz w:val="32"/>
          <w:szCs w:val="32"/>
        </w:rPr>
        <w:t xml:space="preserve"> </w:t>
      </w: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rPr>
        <w:t>联系电话:</w:t>
      </w:r>
      <w:r>
        <w:rPr>
          <w:rFonts w:hint="eastAsia" w:ascii="仿宋" w:hAnsi="仿宋" w:eastAsia="仿宋" w:cs="仿宋"/>
          <w:color w:val="555555"/>
          <w:kern w:val="0"/>
          <w:sz w:val="32"/>
          <w:szCs w:val="32"/>
          <w:lang w:val="en-US" w:eastAsia="zh-CN"/>
        </w:rPr>
        <w:t>0833-3211269</w:t>
      </w:r>
    </w:p>
    <w:p>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pPr>
        <w:spacing w:line="300" w:lineRule="exact"/>
        <w:jc w:val="center"/>
        <w:rPr>
          <w:rFonts w:hint="eastAsia" w:ascii="仿宋" w:hAnsi="仿宋" w:eastAsia="仿宋" w:cs="仿宋"/>
          <w:b/>
          <w:sz w:val="32"/>
          <w:szCs w:val="32"/>
          <w:lang w:eastAsia="zh-CN"/>
        </w:rPr>
      </w:pPr>
    </w:p>
    <w:p>
      <w:pPr>
        <w:pStyle w:val="2"/>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pPr>
        <w:pStyle w:val="30"/>
        <w:spacing w:line="240" w:lineRule="auto"/>
        <w:rPr>
          <w:rFonts w:hint="eastAsia"/>
          <w:lang w:eastAsia="zh-CN"/>
        </w:rPr>
      </w:pPr>
    </w:p>
    <w:p>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本询价项目参照《中华人民共和国政府采购法》《四川省政府采购非招标采购方式实施办法》等有关法律、法规和规章，通过</w:t>
      </w:r>
      <w:r>
        <w:rPr>
          <w:rFonts w:hint="eastAsia" w:ascii="仿宋" w:hAnsi="仿宋" w:eastAsia="仿宋" w:cs="仿宋"/>
          <w:color w:val="FF0000"/>
          <w:sz w:val="32"/>
          <w:szCs w:val="32"/>
          <w:lang w:val="en-US" w:eastAsia="zh-CN"/>
        </w:rPr>
        <w:t>综合评分</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供应商自行承担本项目询价活动所发生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”，“询价响应文件”，“于   年  月  日  时  分前不得拆封”等字样。未按询价文件要求密封的响应文件将被拒收。</w:t>
      </w:r>
    </w:p>
    <w:p>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后最终报价为依据（未组织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原则确定成交供应商。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现场</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pPr>
        <w:pStyle w:val="2"/>
        <w:rPr>
          <w:rFonts w:hint="eastAsia"/>
          <w:lang w:eastAsia="zh-CN"/>
        </w:rPr>
      </w:pPr>
    </w:p>
    <w:p>
      <w:pPr>
        <w:pStyle w:val="7"/>
        <w:ind w:left="0" w:leftChars="0" w:firstLine="0" w:firstLineChars="0"/>
        <w:rPr>
          <w:rFonts w:hint="eastAsia" w:ascii="黑体" w:hAnsi="黑体" w:eastAsia="黑体" w:cs="黑体"/>
          <w:lang w:eastAsia="zh-CN"/>
        </w:rPr>
      </w:pPr>
    </w:p>
    <w:p>
      <w:pPr>
        <w:rPr>
          <w:rFonts w:hint="eastAsia" w:ascii="黑体" w:hAnsi="黑体" w:eastAsia="黑体" w:cs="黑体"/>
          <w:lang w:val="en-US" w:eastAsia="zh-CN"/>
        </w:rPr>
      </w:pPr>
    </w:p>
    <w:p>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pPr>
        <w:spacing w:line="400" w:lineRule="exact"/>
        <w:ind w:firstLine="4897" w:firstLineChars="583"/>
        <w:rPr>
          <w:rFonts w:hint="eastAsia" w:ascii="黑体" w:hAnsi="黑体" w:eastAsia="黑体" w:cs="黑体"/>
          <w:sz w:val="84"/>
          <w:szCs w:val="84"/>
          <w:lang w:eastAsia="zh-CN"/>
        </w:rPr>
      </w:pPr>
    </w:p>
    <w:p>
      <w:pPr>
        <w:pStyle w:val="2"/>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询价、谈判、磋商文件</w:t>
      </w:r>
    </w:p>
    <w:p>
      <w:pPr>
        <w:rPr>
          <w:rFonts w:hint="eastAsia" w:ascii="黑体" w:hAnsi="黑体" w:eastAsia="黑体" w:cs="黑体"/>
          <w:sz w:val="84"/>
          <w:szCs w:val="84"/>
          <w:lang w:val="en-US" w:eastAsia="zh-CN"/>
        </w:rPr>
      </w:pPr>
    </w:p>
    <w:p>
      <w:pPr>
        <w:pStyle w:val="2"/>
        <w:rPr>
          <w:rFonts w:hint="eastAsia" w:ascii="黑体" w:hAnsi="黑体" w:eastAsia="黑体" w:cs="黑体"/>
          <w:lang w:val="en-US" w:eastAsia="zh-CN"/>
        </w:rPr>
      </w:pPr>
    </w:p>
    <w:p>
      <w:pPr>
        <w:spacing w:line="400" w:lineRule="exact"/>
        <w:ind w:firstLine="4897" w:firstLineChars="583"/>
        <w:rPr>
          <w:rFonts w:hint="eastAsia" w:ascii="黑体" w:hAnsi="黑体" w:eastAsia="黑体" w:cs="黑体"/>
          <w:sz w:val="84"/>
          <w:szCs w:val="84"/>
        </w:rPr>
      </w:pPr>
    </w:p>
    <w:p>
      <w:pPr>
        <w:spacing w:line="400" w:lineRule="exact"/>
        <w:ind w:firstLine="4897" w:firstLineChars="583"/>
        <w:rPr>
          <w:rFonts w:hint="eastAsia" w:ascii="黑体" w:hAnsi="黑体" w:eastAsia="黑体" w:cs="黑体"/>
          <w:sz w:val="84"/>
          <w:szCs w:val="84"/>
        </w:rPr>
      </w:pPr>
    </w:p>
    <w:p>
      <w:pPr>
        <w:spacing w:line="400" w:lineRule="exact"/>
        <w:rPr>
          <w:rFonts w:hint="eastAsia" w:ascii="黑体" w:hAnsi="黑体" w:eastAsia="黑体" w:cs="黑体"/>
          <w:b/>
          <w:bCs/>
          <w:sz w:val="30"/>
          <w:szCs w:val="30"/>
        </w:rPr>
      </w:pPr>
    </w:p>
    <w:p>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pPr>
        <w:widowControl w:val="0"/>
        <w:adjustRightInd/>
        <w:spacing w:line="360" w:lineRule="auto"/>
        <w:rPr>
          <w:rFonts w:hint="eastAsia" w:ascii="黑体" w:hAnsi="黑体" w:eastAsia="黑体" w:cs="黑体"/>
          <w:b/>
          <w:bCs/>
          <w:sz w:val="32"/>
          <w:szCs w:val="32"/>
        </w:rPr>
      </w:pPr>
      <w:r>
        <w:rPr>
          <w:rFonts w:hint="eastAsia" w:ascii="黑体" w:hAnsi="黑体" w:eastAsia="黑体" w:cs="黑体"/>
          <w:b/>
          <w:bCs/>
          <w:sz w:val="32"/>
          <w:szCs w:val="32"/>
        </w:rPr>
        <w:t>法定代表人或授权代表：</w:t>
      </w:r>
      <w:r>
        <w:rPr>
          <w:rFonts w:hint="eastAsia" w:ascii="黑体" w:hAnsi="黑体" w:eastAsia="黑体" w:cs="黑体"/>
          <w:b/>
          <w:bCs/>
          <w:sz w:val="32"/>
          <w:szCs w:val="32"/>
          <w:u w:val="single"/>
        </w:rPr>
        <w:t xml:space="preserve">             </w:t>
      </w:r>
      <w:r>
        <w:rPr>
          <w:rFonts w:hint="eastAsia" w:ascii="黑体" w:hAnsi="黑体" w:eastAsia="黑体" w:cs="黑体"/>
          <w:b/>
          <w:bCs/>
          <w:sz w:val="32"/>
          <w:szCs w:val="32"/>
        </w:rPr>
        <w:t>（签字或加盖个人名章）</w:t>
      </w:r>
    </w:p>
    <w:p>
      <w:pPr>
        <w:widowControl w:val="0"/>
        <w:adjustRightInd/>
        <w:spacing w:line="360" w:lineRule="auto"/>
        <w:ind w:firstLine="315" w:firstLineChars="98"/>
        <w:rPr>
          <w:rFonts w:hint="eastAsia" w:ascii="黑体" w:hAnsi="黑体" w:eastAsia="黑体" w:cs="黑体"/>
          <w:b/>
          <w:bCs/>
          <w:sz w:val="32"/>
          <w:szCs w:val="32"/>
        </w:rPr>
      </w:pPr>
    </w:p>
    <w:p>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pPr>
        <w:rPr>
          <w:rFonts w:hint="eastAsia" w:ascii="黑体" w:hAnsi="黑体" w:eastAsia="黑体" w:cs="黑体"/>
          <w:b/>
          <w:bCs/>
          <w:sz w:val="32"/>
          <w:szCs w:val="32"/>
        </w:rPr>
      </w:pPr>
      <w:bookmarkStart w:id="0" w:name="_Toc25737"/>
      <w:bookmarkStart w:id="1" w:name="_Toc5773"/>
      <w:bookmarkStart w:id="2" w:name="_Toc9490"/>
      <w:bookmarkStart w:id="3" w:name="_Toc18458"/>
      <w:r>
        <w:rPr>
          <w:rFonts w:hint="eastAsia" w:ascii="黑体" w:hAnsi="黑体" w:eastAsia="黑体" w:cs="黑体"/>
          <w:b/>
          <w:bCs/>
          <w:sz w:val="32"/>
          <w:szCs w:val="32"/>
        </w:rPr>
        <w:br w:type="page"/>
      </w:r>
    </w:p>
    <w:bookmarkEnd w:id="0"/>
    <w:bookmarkEnd w:id="1"/>
    <w:bookmarkEnd w:id="2"/>
    <w:bookmarkEnd w:id="3"/>
    <w:p>
      <w:pPr>
        <w:numPr>
          <w:ilvl w:val="0"/>
          <w:numId w:val="2"/>
        </w:numPr>
        <w:jc w:val="center"/>
        <w:rPr>
          <w:rFonts w:hint="eastAsia" w:ascii="黑体" w:hAnsi="黑体" w:eastAsia="黑体" w:cs="黑体"/>
          <w:b/>
          <w:sz w:val="36"/>
          <w:szCs w:val="36"/>
          <w:lang w:val="en-US" w:eastAsia="zh-CN"/>
        </w:rPr>
      </w:pPr>
      <w:bookmarkStart w:id="4" w:name="_Toc4003"/>
      <w:bookmarkStart w:id="5" w:name="_Toc12449"/>
      <w:bookmarkStart w:id="6" w:name="_Toc439699516"/>
      <w:bookmarkStart w:id="7" w:name="_Toc17549"/>
      <w:r>
        <w:rPr>
          <w:rFonts w:hint="eastAsia" w:ascii="黑体" w:hAnsi="黑体" w:eastAsia="黑体" w:cs="黑体"/>
          <w:b/>
          <w:sz w:val="36"/>
          <w:szCs w:val="36"/>
          <w:lang w:val="en-US" w:eastAsia="zh-CN"/>
        </w:rPr>
        <w:t>采购资质要求</w:t>
      </w:r>
    </w:p>
    <w:p>
      <w:pPr>
        <w:pStyle w:val="2"/>
        <w:rPr>
          <w:rFonts w:hint="eastAsia" w:ascii="黑体" w:hAnsi="黑体" w:eastAsia="黑体" w:cs="黑体"/>
          <w:b/>
          <w:sz w:val="36"/>
          <w:szCs w:val="36"/>
          <w:lang w:val="en-US" w:eastAsia="zh-CN"/>
        </w:rPr>
      </w:pPr>
    </w:p>
    <w:p>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286"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6420"/>
        <w:gridCol w:w="1035"/>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2022年以来任意三个月的缴纳税收和社保资金证明材料（银行缴款证明或税收机关、社保机关盖章的证明文件）</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供应商通过“信用中国”(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网页截图盖公章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bl>
    <w:p>
      <w:pPr>
        <w:pStyle w:val="2"/>
        <w:rPr>
          <w:rFonts w:hint="eastAsia" w:ascii="仿宋" w:hAnsi="仿宋" w:eastAsia="仿宋" w:cs="仿宋"/>
          <w:color w:val="auto"/>
          <w:sz w:val="30"/>
          <w:szCs w:val="30"/>
          <w:highlight w:val="none"/>
          <w:lang w:eastAsia="zh-CN"/>
        </w:rPr>
      </w:pPr>
    </w:p>
    <w:p>
      <w:pPr>
        <w:pStyle w:val="3"/>
        <w:rPr>
          <w:rFonts w:hint="eastAsia" w:ascii="仿宋" w:hAnsi="仿宋" w:eastAsia="仿宋" w:cs="仿宋"/>
          <w:color w:val="auto"/>
          <w:sz w:val="30"/>
          <w:szCs w:val="30"/>
          <w:highlight w:val="none"/>
          <w:lang w:eastAsia="zh-CN"/>
        </w:rPr>
      </w:pPr>
    </w:p>
    <w:p>
      <w:pPr>
        <w:rPr>
          <w:rFonts w:hint="eastAsia" w:ascii="仿宋" w:hAnsi="仿宋" w:eastAsia="仿宋" w:cs="仿宋"/>
          <w:color w:val="auto"/>
          <w:sz w:val="30"/>
          <w:szCs w:val="30"/>
          <w:highlight w:val="none"/>
          <w:lang w:eastAsia="zh-CN"/>
        </w:rPr>
      </w:pPr>
    </w:p>
    <w:p>
      <w:pPr>
        <w:pStyle w:val="2"/>
        <w:rPr>
          <w:rFonts w:hint="eastAsia"/>
          <w:lang w:eastAsia="zh-CN"/>
        </w:rPr>
      </w:pPr>
    </w:p>
    <w:p>
      <w:pPr>
        <w:pStyle w:val="2"/>
        <w:rPr>
          <w:rFonts w:hint="eastAsia"/>
          <w:lang w:eastAsia="zh-CN"/>
        </w:rPr>
      </w:pPr>
    </w:p>
    <w:p>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pPr>
        <w:pStyle w:val="2"/>
        <w:rPr>
          <w:rFonts w:hint="eastAsia" w:ascii="黑体" w:hAnsi="黑体" w:eastAsia="黑体" w:cs="黑体"/>
          <w:sz w:val="28"/>
          <w:szCs w:val="28"/>
        </w:rPr>
      </w:pPr>
    </w:p>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pPr>
        <w:pStyle w:val="2"/>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pPr>
        <w:pStyle w:val="29"/>
        <w:rPr>
          <w:rFonts w:hint="eastAsia" w:ascii="仿宋" w:hAnsi="仿宋" w:eastAsia="仿宋" w:cs="仿宋"/>
          <w:sz w:val="32"/>
          <w:szCs w:val="32"/>
        </w:rPr>
      </w:pPr>
    </w:p>
    <w:p>
      <w:pPr>
        <w:rPr>
          <w:rFonts w:hint="eastAsia"/>
        </w:rPr>
      </w:pP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pPr>
        <w:pStyle w:val="2"/>
        <w:adjustRightInd w:val="0"/>
        <w:snapToGrid w:val="0"/>
        <w:spacing w:after="0" w:line="360" w:lineRule="auto"/>
        <w:ind w:firstLine="560" w:firstLineChars="200"/>
        <w:rPr>
          <w:rFonts w:hint="eastAsia" w:ascii="黑体" w:hAnsi="黑体" w:eastAsia="黑体" w:cs="黑体"/>
          <w:sz w:val="28"/>
          <w:szCs w:val="28"/>
          <w:lang w:eastAsia="zh-CN"/>
        </w:rPr>
      </w:pPr>
    </w:p>
    <w:p>
      <w:pPr>
        <w:pStyle w:val="2"/>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pPr>
        <w:spacing w:beforeLines="100" w:afterLines="200" w:line="320" w:lineRule="exact"/>
        <w:jc w:val="center"/>
        <w:rPr>
          <w:rFonts w:hint="eastAsia" w:ascii="黑体" w:hAnsi="黑体" w:eastAsia="黑体" w:cs="黑体"/>
          <w:color w:val="auto"/>
          <w:sz w:val="40"/>
          <w:szCs w:val="40"/>
        </w:rPr>
      </w:pPr>
      <w:bookmarkStart w:id="8" w:name="_Toc199"/>
      <w:bookmarkStart w:id="9" w:name="_Toc16184"/>
      <w:bookmarkStart w:id="10" w:name="_Toc12426"/>
      <w:bookmarkStart w:id="11" w:name="_Toc439699522"/>
      <w:bookmarkStart w:id="12" w:name="_Toc24199"/>
      <w:bookmarkStart w:id="13" w:name="_Toc1800"/>
      <w:bookmarkStart w:id="14" w:name="_Toc1287"/>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pPr>
        <w:pStyle w:val="27"/>
        <w:spacing w:line="240" w:lineRule="auto"/>
        <w:ind w:firstLine="0"/>
        <w:rPr>
          <w:rFonts w:hint="eastAsia" w:ascii="仿宋" w:hAnsi="仿宋" w:eastAsia="仿宋" w:cs="仿宋"/>
          <w:color w:val="auto"/>
          <w:sz w:val="32"/>
          <w:szCs w:val="32"/>
        </w:rPr>
      </w:pPr>
    </w:p>
    <w:p>
      <w:pPr>
        <w:pStyle w:val="27"/>
        <w:spacing w:line="240" w:lineRule="auto"/>
        <w:ind w:firstLine="0"/>
        <w:rPr>
          <w:rFonts w:hint="eastAsia" w:ascii="仿宋" w:hAnsi="仿宋" w:eastAsia="仿宋" w:cs="仿宋"/>
          <w:color w:val="auto"/>
          <w:sz w:val="32"/>
          <w:szCs w:val="32"/>
        </w:rPr>
      </w:pPr>
    </w:p>
    <w:p>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3</w:t>
      </w:r>
      <w:r>
        <w:rPr>
          <w:rFonts w:hint="eastAsia" w:ascii="仿宋" w:hAnsi="仿宋" w:eastAsia="仿宋" w:cs="仿宋"/>
          <w:color w:val="auto"/>
          <w:kern w:val="2"/>
          <w:sz w:val="32"/>
          <w:szCs w:val="32"/>
        </w:rPr>
        <w:t>年  月  日</w:t>
      </w:r>
      <w:bookmarkEnd w:id="15"/>
    </w:p>
    <w:p>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pPr>
        <w:spacing w:after="0" w:line="360" w:lineRule="auto"/>
        <w:rPr>
          <w:rFonts w:hint="eastAsia" w:ascii="黑体" w:hAnsi="黑体" w:eastAsia="黑体" w:cs="黑体"/>
        </w:rPr>
      </w:pPr>
    </w:p>
    <w:p>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pPr>
        <w:pStyle w:val="2"/>
        <w:rPr>
          <w:rFonts w:hint="eastAsia" w:ascii="黑体" w:hAnsi="黑体" w:eastAsia="黑体" w:cs="黑体"/>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采购预算：总价57600元</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1095"/>
        <w:gridCol w:w="1095"/>
        <w:gridCol w:w="1245"/>
        <w:gridCol w:w="4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077"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名称</w:t>
            </w:r>
          </w:p>
        </w:tc>
        <w:tc>
          <w:tcPr>
            <w:tcW w:w="1095"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单价</w:t>
            </w:r>
          </w:p>
        </w:tc>
        <w:tc>
          <w:tcPr>
            <w:tcW w:w="1095"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数量</w:t>
            </w:r>
          </w:p>
        </w:tc>
        <w:tc>
          <w:tcPr>
            <w:tcW w:w="1245"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总价</w:t>
            </w:r>
          </w:p>
        </w:tc>
        <w:tc>
          <w:tcPr>
            <w:tcW w:w="4560"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077"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男医生服</w:t>
            </w:r>
          </w:p>
        </w:tc>
        <w:tc>
          <w:tcPr>
            <w:tcW w:w="1095"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50</w:t>
            </w:r>
          </w:p>
        </w:tc>
        <w:tc>
          <w:tcPr>
            <w:tcW w:w="1095"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262</w:t>
            </w:r>
          </w:p>
        </w:tc>
        <w:tc>
          <w:tcPr>
            <w:tcW w:w="1245"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13100</w:t>
            </w:r>
          </w:p>
        </w:tc>
        <w:tc>
          <w:tcPr>
            <w:tcW w:w="4560" w:type="dxa"/>
            <w:vMerge w:val="restart"/>
          </w:tcPr>
          <w:p>
            <w:pPr>
              <w:pStyle w:val="16"/>
              <w:numPr>
                <w:ilvl w:val="0"/>
                <w:numId w:val="0"/>
              </w:numPr>
              <w:spacing w:line="240" w:lineRule="auto"/>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1、数量按照科室要求分批供货，非一次供货。</w:t>
            </w:r>
          </w:p>
          <w:p>
            <w:pPr>
              <w:pStyle w:val="16"/>
              <w:numPr>
                <w:ilvl w:val="0"/>
                <w:numId w:val="0"/>
              </w:numPr>
              <w:spacing w:line="240" w:lineRule="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2、材质要求：T/C:65%/35%</w:t>
            </w:r>
          </w:p>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22"/>
                <w:szCs w:val="22"/>
                <w:vertAlign w:val="baseline"/>
                <w:lang w:val="en-US" w:eastAsia="zh-CN"/>
              </w:rPr>
              <w:t>3、样式：医生服为小西服领，后开叉，下摆不在膝下；护士服为分体式：女护士为圆领镶蓝边，两插包蓝边点缀。男护士为小西服领。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077"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女医生服</w:t>
            </w:r>
          </w:p>
        </w:tc>
        <w:tc>
          <w:tcPr>
            <w:tcW w:w="1095"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50</w:t>
            </w:r>
          </w:p>
        </w:tc>
        <w:tc>
          <w:tcPr>
            <w:tcW w:w="1095"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202</w:t>
            </w:r>
          </w:p>
        </w:tc>
        <w:tc>
          <w:tcPr>
            <w:tcW w:w="1245"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10100</w:t>
            </w:r>
          </w:p>
        </w:tc>
        <w:tc>
          <w:tcPr>
            <w:tcW w:w="4560" w:type="dxa"/>
            <w:vMerge w:val="continue"/>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077"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女护士服</w:t>
            </w:r>
          </w:p>
        </w:tc>
        <w:tc>
          <w:tcPr>
            <w:tcW w:w="1095"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80</w:t>
            </w:r>
          </w:p>
        </w:tc>
        <w:tc>
          <w:tcPr>
            <w:tcW w:w="1095"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418</w:t>
            </w:r>
          </w:p>
        </w:tc>
        <w:tc>
          <w:tcPr>
            <w:tcW w:w="1245"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33440</w:t>
            </w:r>
          </w:p>
        </w:tc>
        <w:tc>
          <w:tcPr>
            <w:tcW w:w="4560" w:type="dxa"/>
            <w:vMerge w:val="continue"/>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077"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男护士服</w:t>
            </w:r>
          </w:p>
        </w:tc>
        <w:tc>
          <w:tcPr>
            <w:tcW w:w="1095"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80</w:t>
            </w:r>
          </w:p>
        </w:tc>
        <w:tc>
          <w:tcPr>
            <w:tcW w:w="1095"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w:t>
            </w:r>
          </w:p>
        </w:tc>
        <w:tc>
          <w:tcPr>
            <w:tcW w:w="1245"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960</w:t>
            </w:r>
          </w:p>
        </w:tc>
        <w:tc>
          <w:tcPr>
            <w:tcW w:w="4560" w:type="dxa"/>
            <w:vMerge w:val="continue"/>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77"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总价</w:t>
            </w:r>
          </w:p>
        </w:tc>
        <w:tc>
          <w:tcPr>
            <w:tcW w:w="109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109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1245"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57600</w:t>
            </w:r>
          </w:p>
        </w:tc>
        <w:tc>
          <w:tcPr>
            <w:tcW w:w="4560"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bl>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p>
    <w:p>
      <w:pPr>
        <w:pStyle w:val="16"/>
        <w:numPr>
          <w:ilvl w:val="0"/>
          <w:numId w:val="0"/>
        </w:numPr>
        <w:spacing w:line="240" w:lineRule="auto"/>
        <w:ind w:left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供应商报价不得高于单价，以上供应商在提供标书时候同时提供男医生服和女护士服样品各一套，样品评审后，对评分第一名投标人的样品进行封存，其他投标人的样品将退回（如不方便现场领取，采购人将按照供应商提供的地址寄回，邮费到付）。</w:t>
      </w:r>
    </w:p>
    <w:p>
      <w:pPr>
        <w:pStyle w:val="16"/>
        <w:numPr>
          <w:ilvl w:val="0"/>
          <w:numId w:val="0"/>
        </w:numPr>
        <w:spacing w:line="240" w:lineRule="auto"/>
        <w:ind w:leftChars="0"/>
        <w:rPr>
          <w:rFonts w:hint="default" w:ascii="仿宋" w:hAnsi="仿宋" w:eastAsia="仿宋" w:cs="仿宋"/>
          <w:sz w:val="32"/>
          <w:szCs w:val="32"/>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响应时间：合同签订后5天内进行量体或根据甲方提供的型号制作后30天内交货。</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服务要求：上门量身定制，因颜色可能存在色差，具体以成交供应商的色号为准、款式可适当调整。</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付款方式：验收合格后，采购人在收到供应商提供的正规完税发票后90个工作日内结算款项。</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质量要求：成交供应商须提供全新的货物（含配件等），表面无破损,货物必须符合或优于国家（行业）标准。</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售后要求：若收货后发现货物尺寸和型号不相符，需重做或修改的，成交供应商应在10日内无条件重做或修改，货物质量出现问题（如缝合不当、脱线，领口袖口和布料起泡、内衬非人为损坏等），成交供应商应负责三包（包修、包换、包退），质保期为6个月，费用（包含但不限于上门、差旅）由成交供应商承担。</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p>
      <w:pPr>
        <w:rPr>
          <w:rFonts w:hint="eastAsia" w:ascii="黑体" w:hAnsi="黑体" w:eastAsia="黑体" w:cs="黑体"/>
          <w:lang w:eastAsia="zh-CN"/>
        </w:rPr>
      </w:pPr>
    </w:p>
    <w:p>
      <w:pPr>
        <w:pStyle w:val="5"/>
        <w:rPr>
          <w:rFonts w:hint="eastAsia" w:ascii="黑体" w:hAnsi="黑体" w:eastAsia="黑体" w:cs="黑体"/>
          <w:lang w:eastAsia="zh-CN"/>
        </w:rPr>
      </w:pPr>
    </w:p>
    <w:p>
      <w:pPr>
        <w:rPr>
          <w:rFonts w:hint="eastAsia" w:ascii="黑体" w:hAnsi="黑体" w:eastAsia="黑体" w:cs="黑体"/>
          <w:lang w:eastAsia="zh-CN"/>
        </w:rPr>
      </w:pPr>
      <w:r>
        <w:rPr>
          <w:rFonts w:hint="eastAsia" w:ascii="黑体" w:hAnsi="黑体" w:eastAsia="黑体" w:cs="黑体"/>
          <w:lang w:eastAsia="zh-CN"/>
        </w:rPr>
        <w:br w:type="page"/>
      </w:r>
    </w:p>
    <w:p>
      <w:pPr>
        <w:pStyle w:val="16"/>
        <w:rPr>
          <w:rFonts w:hint="eastAsia" w:ascii="黑体" w:hAnsi="黑体" w:eastAsia="黑体" w:cs="黑体"/>
          <w:lang w:eastAsia="zh-CN"/>
        </w:rPr>
      </w:pPr>
    </w:p>
    <w:p>
      <w:pPr>
        <w:pStyle w:val="2"/>
        <w:rPr>
          <w:rFonts w:hint="eastAsia" w:ascii="黑体" w:hAnsi="黑体" w:eastAsia="黑体" w:cs="黑体"/>
          <w:lang w:eastAsia="zh-CN"/>
        </w:rPr>
      </w:pPr>
      <w:r>
        <w:rPr>
          <w:rFonts w:hint="eastAsia" w:ascii="黑体" w:hAnsi="黑体" w:eastAsia="黑体" w:cs="黑体"/>
          <w:sz w:val="32"/>
          <w:szCs w:val="40"/>
          <w:lang w:eastAsia="zh-CN"/>
        </w:rPr>
        <w:t>评分标准</w:t>
      </w:r>
      <w:r>
        <w:rPr>
          <w:rFonts w:hint="eastAsia" w:ascii="黑体" w:hAnsi="黑体" w:eastAsia="黑体" w:cs="黑体"/>
          <w:lang w:eastAsia="zh-CN"/>
        </w:rPr>
        <w:t>：</w:t>
      </w:r>
    </w:p>
    <w:tbl>
      <w:tblPr>
        <w:tblStyle w:val="17"/>
        <w:tblW w:w="9958" w:type="dxa"/>
        <w:jc w:val="center"/>
        <w:tblLayout w:type="fixed"/>
        <w:tblCellMar>
          <w:top w:w="0" w:type="dxa"/>
          <w:left w:w="108" w:type="dxa"/>
          <w:bottom w:w="0" w:type="dxa"/>
          <w:right w:w="108" w:type="dxa"/>
        </w:tblCellMar>
      </w:tblPr>
      <w:tblGrid>
        <w:gridCol w:w="579"/>
        <w:gridCol w:w="1023"/>
        <w:gridCol w:w="860"/>
        <w:gridCol w:w="6510"/>
        <w:gridCol w:w="986"/>
      </w:tblGrid>
      <w:tr>
        <w:tblPrEx>
          <w:tblCellMar>
            <w:top w:w="0" w:type="dxa"/>
            <w:left w:w="108" w:type="dxa"/>
            <w:bottom w:w="0" w:type="dxa"/>
            <w:right w:w="108" w:type="dxa"/>
          </w:tblCellMar>
        </w:tblPrEx>
        <w:trPr>
          <w:cantSplit/>
          <w:trHeight w:val="821"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tblPrEx>
          <w:tblCellMar>
            <w:top w:w="0" w:type="dxa"/>
            <w:left w:w="108" w:type="dxa"/>
            <w:bottom w:w="0" w:type="dxa"/>
            <w:right w:w="108" w:type="dxa"/>
          </w:tblCellMar>
        </w:tblPrEx>
        <w:trPr>
          <w:trHeight w:val="122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报价</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40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满足招标文件要求且投标价格最低的投标报价为评标基准价，其价格分为满分。其他供应商的价格分统一按照下列公式计算：投标报价得分=(评标基准价÷投标报价)×40%×100；（最低价基准法）</w:t>
            </w:r>
          </w:p>
          <w:p>
            <w:pPr>
              <w:rPr>
                <w:rFonts w:hint="eastAsia" w:ascii="仿宋" w:hAnsi="仿宋" w:eastAsia="仿宋" w:cs="仿宋"/>
                <w:kern w:val="1"/>
                <w:sz w:val="32"/>
                <w:szCs w:val="32"/>
                <w:lang w:val="en-US" w:eastAsia="zh-CN"/>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r>
        <w:tblPrEx>
          <w:tblCellMar>
            <w:top w:w="0" w:type="dxa"/>
            <w:left w:w="108" w:type="dxa"/>
            <w:bottom w:w="0" w:type="dxa"/>
            <w:right w:w="108" w:type="dxa"/>
          </w:tblCellMar>
        </w:tblPrEx>
        <w:trPr>
          <w:trHeight w:val="122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lang w:eastAsia="zh-CN"/>
              </w:rPr>
              <w:t>技术要求</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both"/>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21</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32"/>
                <w:szCs w:val="32"/>
                <w:lang w:val="en-US" w:eastAsia="zh-CN"/>
              </w:rPr>
            </w:pPr>
            <w:r>
              <w:rPr>
                <w:rFonts w:hint="eastAsia" w:ascii="仿宋" w:hAnsi="仿宋" w:eastAsia="仿宋" w:cs="仿宋"/>
                <w:kern w:val="1"/>
                <w:sz w:val="32"/>
                <w:szCs w:val="32"/>
                <w:lang w:val="en-US" w:eastAsia="zh-CN"/>
              </w:rPr>
              <w:t>根据供应商对技术，完全响应文件要求没有负偏离的得满分，有一项负偏离的扣2分，扣完为止</w:t>
            </w:r>
            <w:r>
              <w:rPr>
                <w:rFonts w:hint="eastAsia" w:ascii="仿宋" w:hAnsi="仿宋" w:eastAsia="仿宋" w:cs="仿宋"/>
                <w:kern w:val="1"/>
                <w:sz w:val="32"/>
                <w:szCs w:val="32"/>
              </w:rPr>
              <w:t>。</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tblPrEx>
          <w:tblCellMar>
            <w:top w:w="0" w:type="dxa"/>
            <w:left w:w="108" w:type="dxa"/>
            <w:bottom w:w="0" w:type="dxa"/>
            <w:right w:w="108" w:type="dxa"/>
          </w:tblCellMar>
        </w:tblPrEx>
        <w:trPr>
          <w:trHeight w:val="1735"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3</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p>
          <w:p>
            <w:pPr>
              <w:spacing w:line="320" w:lineRule="atLeast"/>
              <w:jc w:val="center"/>
              <w:rPr>
                <w:rFonts w:hint="eastAsia" w:ascii="仿宋" w:hAnsi="仿宋" w:eastAsia="仿宋" w:cs="仿宋"/>
                <w:sz w:val="32"/>
                <w:szCs w:val="32"/>
              </w:rPr>
            </w:pPr>
            <w:r>
              <w:rPr>
                <w:rFonts w:hint="eastAsia" w:ascii="仿宋" w:hAnsi="仿宋" w:eastAsia="仿宋" w:cs="仿宋"/>
                <w:sz w:val="32"/>
                <w:szCs w:val="32"/>
                <w:lang w:val="en-US" w:eastAsia="zh-CN"/>
              </w:rPr>
              <w:t>样品质量</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32"/>
                <w:szCs w:val="32"/>
                <w:lang w:val="en-US" w:eastAsia="zh-CN"/>
              </w:rPr>
            </w:pPr>
            <w:r>
              <w:rPr>
                <w:rFonts w:hint="eastAsia" w:ascii="仿宋" w:hAnsi="仿宋" w:eastAsia="仿宋" w:cs="仿宋"/>
                <w:kern w:val="1"/>
                <w:sz w:val="32"/>
                <w:szCs w:val="32"/>
                <w:lang w:val="en-US" w:eastAsia="zh-CN"/>
              </w:rPr>
              <w:t>24</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对供应商提供的样品根据以下标准进行评审：1.样品缝合走线平整、2.整体外观制作美观、3.工艺制作精良、4.手感柔软舒适、5.对条对格对称性好、6.缝迹流畅平服无折皱，完全满足要求得满分24分，有一项不满足要求扣 </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4分，未按照文件要求提供样品此项不得分。</w:t>
            </w:r>
          </w:p>
          <w:p>
            <w:pPr>
              <w:rPr>
                <w:rFonts w:hint="eastAsia" w:ascii="仿宋" w:hAnsi="仿宋" w:eastAsia="仿宋" w:cs="仿宋"/>
                <w:sz w:val="32"/>
                <w:szCs w:val="32"/>
                <w:lang w:val="en-US" w:eastAsia="zh-CN"/>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tblPrEx>
          <w:tblCellMar>
            <w:top w:w="0" w:type="dxa"/>
            <w:left w:w="108" w:type="dxa"/>
            <w:bottom w:w="0" w:type="dxa"/>
            <w:right w:w="108" w:type="dxa"/>
          </w:tblCellMar>
        </w:tblPrEx>
        <w:trPr>
          <w:trHeight w:val="106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4</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售后方案</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15</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方案进行综合评审：项目实施及售后服务方案包括但不限于①供货计划以投标文件为准。（包含但不限于产品出入库管理、配送流程）、②产品质量保证措施、③退、换货处理方案、④售后服务人员配备及职责分工、⑤售后服务范围及售后服务保障措施。</w:t>
            </w:r>
          </w:p>
          <w:p>
            <w:pPr>
              <w:rPr>
                <w:rFonts w:hint="eastAsia" w:ascii="仿宋" w:hAnsi="仿宋" w:eastAsia="仿宋" w:cs="仿宋"/>
                <w:kern w:val="1"/>
                <w:sz w:val="32"/>
                <w:szCs w:val="32"/>
                <w:lang w:val="en-US" w:eastAsia="zh-CN"/>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bl>
    <w:p>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1D6A547E"/>
    <w:multiLevelType w:val="singleLevel"/>
    <w:tmpl w:val="1D6A547E"/>
    <w:lvl w:ilvl="0" w:tentative="0">
      <w:start w:val="1"/>
      <w:numFmt w:val="decimal"/>
      <w:suff w:val="nothing"/>
      <w:lvlText w:val="%1、"/>
      <w:lvlJc w:val="left"/>
      <w:pPr>
        <w:ind w:left="21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FE51BA"/>
    <w:rsid w:val="01724615"/>
    <w:rsid w:val="01AC44D5"/>
    <w:rsid w:val="01DA1F83"/>
    <w:rsid w:val="02653FAC"/>
    <w:rsid w:val="038264FB"/>
    <w:rsid w:val="039E0D8D"/>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A5766D2"/>
    <w:rsid w:val="0B5B6EA7"/>
    <w:rsid w:val="0B9B184D"/>
    <w:rsid w:val="0BBF2600"/>
    <w:rsid w:val="0DA12370"/>
    <w:rsid w:val="0DBF0EC4"/>
    <w:rsid w:val="0DE40DBE"/>
    <w:rsid w:val="0E672DB3"/>
    <w:rsid w:val="0E904937"/>
    <w:rsid w:val="0E9E1831"/>
    <w:rsid w:val="0EAB0093"/>
    <w:rsid w:val="0F225786"/>
    <w:rsid w:val="0FCE2C6B"/>
    <w:rsid w:val="107F49DA"/>
    <w:rsid w:val="11103FB2"/>
    <w:rsid w:val="113065C7"/>
    <w:rsid w:val="11551C0D"/>
    <w:rsid w:val="11630C29"/>
    <w:rsid w:val="11AB0E32"/>
    <w:rsid w:val="12374305"/>
    <w:rsid w:val="12AB3D92"/>
    <w:rsid w:val="132D67B3"/>
    <w:rsid w:val="13320F8E"/>
    <w:rsid w:val="13E72023"/>
    <w:rsid w:val="159705C2"/>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E81A96"/>
    <w:rsid w:val="1E4521C9"/>
    <w:rsid w:val="1EC85776"/>
    <w:rsid w:val="1F0B1E38"/>
    <w:rsid w:val="1F176598"/>
    <w:rsid w:val="1F782175"/>
    <w:rsid w:val="1FFB4E00"/>
    <w:rsid w:val="200C1DCC"/>
    <w:rsid w:val="2024443A"/>
    <w:rsid w:val="20B62B46"/>
    <w:rsid w:val="20B86F62"/>
    <w:rsid w:val="20DA469D"/>
    <w:rsid w:val="21141E9E"/>
    <w:rsid w:val="219C0C5F"/>
    <w:rsid w:val="223E3923"/>
    <w:rsid w:val="22CD72A0"/>
    <w:rsid w:val="22DC6C27"/>
    <w:rsid w:val="230709BE"/>
    <w:rsid w:val="2333299E"/>
    <w:rsid w:val="23B92E0F"/>
    <w:rsid w:val="24640781"/>
    <w:rsid w:val="24972E1D"/>
    <w:rsid w:val="2575459C"/>
    <w:rsid w:val="258F1C50"/>
    <w:rsid w:val="260C2C13"/>
    <w:rsid w:val="26DE5391"/>
    <w:rsid w:val="26F92D9C"/>
    <w:rsid w:val="27727EF2"/>
    <w:rsid w:val="27E167C8"/>
    <w:rsid w:val="27E8188C"/>
    <w:rsid w:val="27FC6D6D"/>
    <w:rsid w:val="286E79EF"/>
    <w:rsid w:val="295D2E54"/>
    <w:rsid w:val="29E733A5"/>
    <w:rsid w:val="29EC6ACA"/>
    <w:rsid w:val="2A6F6F5A"/>
    <w:rsid w:val="2A752D03"/>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F2D5CF3"/>
    <w:rsid w:val="2FFD053A"/>
    <w:rsid w:val="305074F8"/>
    <w:rsid w:val="30567424"/>
    <w:rsid w:val="30A47F0F"/>
    <w:rsid w:val="31AE2E30"/>
    <w:rsid w:val="32145B6C"/>
    <w:rsid w:val="32482F63"/>
    <w:rsid w:val="32887A79"/>
    <w:rsid w:val="3367096B"/>
    <w:rsid w:val="34015BA1"/>
    <w:rsid w:val="34104944"/>
    <w:rsid w:val="34607C42"/>
    <w:rsid w:val="34AD3121"/>
    <w:rsid w:val="35850C85"/>
    <w:rsid w:val="358537EA"/>
    <w:rsid w:val="360C1DD5"/>
    <w:rsid w:val="36206E51"/>
    <w:rsid w:val="3645059F"/>
    <w:rsid w:val="36FA0C0E"/>
    <w:rsid w:val="37564C34"/>
    <w:rsid w:val="37AF0C3F"/>
    <w:rsid w:val="381338B3"/>
    <w:rsid w:val="387820A1"/>
    <w:rsid w:val="391D2725"/>
    <w:rsid w:val="39241426"/>
    <w:rsid w:val="3A0A5821"/>
    <w:rsid w:val="3AE30FAC"/>
    <w:rsid w:val="3B3A67B9"/>
    <w:rsid w:val="3BB47094"/>
    <w:rsid w:val="3BD82555"/>
    <w:rsid w:val="3C396CD8"/>
    <w:rsid w:val="3D912EF9"/>
    <w:rsid w:val="3DA25E25"/>
    <w:rsid w:val="3DE94029"/>
    <w:rsid w:val="3E103198"/>
    <w:rsid w:val="3E5C675F"/>
    <w:rsid w:val="3EBE1131"/>
    <w:rsid w:val="3F541632"/>
    <w:rsid w:val="4003626C"/>
    <w:rsid w:val="40245E09"/>
    <w:rsid w:val="410C5355"/>
    <w:rsid w:val="416F0B2D"/>
    <w:rsid w:val="41817FB6"/>
    <w:rsid w:val="41894D39"/>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B21070C"/>
    <w:rsid w:val="4C6D260E"/>
    <w:rsid w:val="4CA65850"/>
    <w:rsid w:val="4D4867BB"/>
    <w:rsid w:val="4D7854C0"/>
    <w:rsid w:val="4E1C022A"/>
    <w:rsid w:val="4E1E1D89"/>
    <w:rsid w:val="4FA771C2"/>
    <w:rsid w:val="4FDC7DDA"/>
    <w:rsid w:val="5003209D"/>
    <w:rsid w:val="508E2B4E"/>
    <w:rsid w:val="515E0132"/>
    <w:rsid w:val="524A480D"/>
    <w:rsid w:val="5263348D"/>
    <w:rsid w:val="527E7420"/>
    <w:rsid w:val="5292301A"/>
    <w:rsid w:val="52C10CD7"/>
    <w:rsid w:val="52F64CB8"/>
    <w:rsid w:val="52FB39A7"/>
    <w:rsid w:val="5446604D"/>
    <w:rsid w:val="547E1AE0"/>
    <w:rsid w:val="54F554AC"/>
    <w:rsid w:val="551A0D5D"/>
    <w:rsid w:val="55EE4C06"/>
    <w:rsid w:val="561A148B"/>
    <w:rsid w:val="565B213D"/>
    <w:rsid w:val="56D444B4"/>
    <w:rsid w:val="572D0183"/>
    <w:rsid w:val="57567F4A"/>
    <w:rsid w:val="57667B7B"/>
    <w:rsid w:val="578D66D2"/>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74DB0"/>
    <w:rsid w:val="5DA41796"/>
    <w:rsid w:val="5DC167D7"/>
    <w:rsid w:val="5F0E08C6"/>
    <w:rsid w:val="5F5075CA"/>
    <w:rsid w:val="5F7007A2"/>
    <w:rsid w:val="5F85487D"/>
    <w:rsid w:val="5FB650D9"/>
    <w:rsid w:val="6096215E"/>
    <w:rsid w:val="62B86D17"/>
    <w:rsid w:val="62C824CA"/>
    <w:rsid w:val="642A2386"/>
    <w:rsid w:val="64677320"/>
    <w:rsid w:val="653C0392"/>
    <w:rsid w:val="6586792A"/>
    <w:rsid w:val="65DD20B3"/>
    <w:rsid w:val="662C503A"/>
    <w:rsid w:val="66BB543F"/>
    <w:rsid w:val="66C47D68"/>
    <w:rsid w:val="67A45BAF"/>
    <w:rsid w:val="67CF5796"/>
    <w:rsid w:val="6855309E"/>
    <w:rsid w:val="68B23C16"/>
    <w:rsid w:val="68D242B7"/>
    <w:rsid w:val="69264D03"/>
    <w:rsid w:val="694F76A8"/>
    <w:rsid w:val="69884565"/>
    <w:rsid w:val="69F16575"/>
    <w:rsid w:val="69FE6269"/>
    <w:rsid w:val="6B110ED0"/>
    <w:rsid w:val="6BF5199F"/>
    <w:rsid w:val="6C81461E"/>
    <w:rsid w:val="6CE610BF"/>
    <w:rsid w:val="6CED312F"/>
    <w:rsid w:val="6D1916FD"/>
    <w:rsid w:val="6D226C43"/>
    <w:rsid w:val="6D535020"/>
    <w:rsid w:val="6DCF5925"/>
    <w:rsid w:val="6E383ABA"/>
    <w:rsid w:val="6E8B493F"/>
    <w:rsid w:val="6EA3545A"/>
    <w:rsid w:val="6F9F7F7D"/>
    <w:rsid w:val="719A4F83"/>
    <w:rsid w:val="71DE50A5"/>
    <w:rsid w:val="722B548E"/>
    <w:rsid w:val="722E4AEA"/>
    <w:rsid w:val="73683978"/>
    <w:rsid w:val="73F43F5E"/>
    <w:rsid w:val="7438150C"/>
    <w:rsid w:val="746F037C"/>
    <w:rsid w:val="74F82EAA"/>
    <w:rsid w:val="75457DB7"/>
    <w:rsid w:val="7563067A"/>
    <w:rsid w:val="75E55D62"/>
    <w:rsid w:val="76466533"/>
    <w:rsid w:val="77F97E1C"/>
    <w:rsid w:val="785111E8"/>
    <w:rsid w:val="78E831F4"/>
    <w:rsid w:val="79AC141B"/>
    <w:rsid w:val="79B51E35"/>
    <w:rsid w:val="79EA27D4"/>
    <w:rsid w:val="7AE23540"/>
    <w:rsid w:val="7C29457B"/>
    <w:rsid w:val="7CE9423F"/>
    <w:rsid w:val="7D9A1A1C"/>
    <w:rsid w:val="7E163DF2"/>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5">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6">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Quote"/>
    <w:basedOn w:val="1"/>
    <w:next w:val="1"/>
    <w:qFormat/>
    <w:uiPriority w:val="0"/>
    <w:rPr>
      <w:i/>
      <w:iCs/>
      <w:color w:val="000000"/>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2"/>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标题 1 Char"/>
    <w:link w:val="4"/>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9"/>
    <w:qFormat/>
    <w:uiPriority w:val="0"/>
    <w:rPr>
      <w:rFonts w:ascii="Calibri" w:hAnsi="Calibri" w:cs="Calibri"/>
      <w:color w:val="000000"/>
      <w:sz w:val="18"/>
      <w:szCs w:val="18"/>
      <w:u w:val="none"/>
    </w:rPr>
  </w:style>
  <w:style w:type="character" w:customStyle="1" w:styleId="25">
    <w:name w:val="font01"/>
    <w:basedOn w:val="19"/>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14</Pages>
  <Words>5236</Words>
  <Characters>5390</Characters>
  <Lines>0</Lines>
  <Paragraphs>0</Paragraphs>
  <TotalTime>1</TotalTime>
  <ScaleCrop>false</ScaleCrop>
  <LinksUpToDate>false</LinksUpToDate>
  <CharactersWithSpaces>5586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天哥</cp:lastModifiedBy>
  <cp:lastPrinted>2019-09-23T08:20:00Z</cp:lastPrinted>
  <dcterms:modified xsi:type="dcterms:W3CDTF">2023-10-23T00:42:10Z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A3FF02CD0CF2480D88414F88A159B41A_13</vt:lpwstr>
  </property>
</Properties>
</file>