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bookmarkStart w:id="16" w:name="_GoBack"/>
      <w:bookmarkEnd w:id="16"/>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乐山市五通桥区人民医院采购项目</w:t>
      </w:r>
    </w:p>
    <w:p>
      <w:pPr>
        <w:pStyle w:val="7"/>
        <w:rPr>
          <w:rFonts w:hint="eastAsia" w:ascii="黑体" w:hAnsi="黑体" w:eastAsia="黑体" w:cs="黑体"/>
          <w:lang w:eastAsia="zh-CN"/>
        </w:rPr>
      </w:pPr>
    </w:p>
    <w:p>
      <w:pPr>
        <w:jc w:val="center"/>
        <w:rPr>
          <w:rFonts w:hint="eastAsia" w:ascii="黑体" w:hAnsi="黑体" w:eastAsia="黑体" w:cs="黑体"/>
          <w:sz w:val="32"/>
          <w:szCs w:val="32"/>
          <w:lang w:eastAsia="zh-CN"/>
        </w:rPr>
      </w:pPr>
      <w:r>
        <w:rPr>
          <w:rFonts w:hint="eastAsia" w:ascii="黑体" w:hAnsi="黑体" w:eastAsia="黑体" w:cs="黑体"/>
          <w:color w:val="FF0000"/>
          <w:sz w:val="52"/>
          <w:szCs w:val="52"/>
          <w:lang w:val="en-US" w:eastAsia="zh-CN"/>
        </w:rPr>
        <w:t>院内询价</w:t>
      </w:r>
      <w:r>
        <w:rPr>
          <w:rFonts w:hint="eastAsia" w:ascii="黑体" w:hAnsi="黑体" w:eastAsia="黑体" w:cs="黑体"/>
          <w:sz w:val="52"/>
          <w:szCs w:val="52"/>
          <w:lang w:eastAsia="zh-CN"/>
        </w:rPr>
        <w:t>文件</w:t>
      </w: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32"/>
          <w:szCs w:val="32"/>
          <w:lang w:eastAsia="zh-CN"/>
        </w:rPr>
      </w:pPr>
    </w:p>
    <w:p>
      <w:pPr>
        <w:pStyle w:val="8"/>
        <w:rPr>
          <w:rFonts w:hint="eastAsia" w:ascii="黑体" w:hAnsi="黑体" w:eastAsia="黑体" w:cs="黑体"/>
          <w:sz w:val="40"/>
          <w:szCs w:val="40"/>
          <w:lang w:eastAsia="zh-CN"/>
        </w:rPr>
      </w:pPr>
    </w:p>
    <w:p>
      <w:pPr>
        <w:jc w:val="center"/>
        <w:rPr>
          <w:rFonts w:hint="default" w:ascii="黑体" w:hAnsi="黑体" w:eastAsia="黑体" w:cs="黑体"/>
          <w:sz w:val="40"/>
          <w:szCs w:val="40"/>
          <w:lang w:val="en-US" w:eastAsia="zh-CN"/>
        </w:rPr>
      </w:pPr>
      <w:r>
        <w:rPr>
          <w:rFonts w:hint="eastAsia" w:ascii="黑体" w:hAnsi="黑体" w:eastAsia="黑体" w:cs="黑体"/>
          <w:sz w:val="40"/>
          <w:szCs w:val="40"/>
          <w:lang w:eastAsia="zh-CN"/>
        </w:rPr>
        <w:t>项目名称：</w:t>
      </w:r>
      <w:r>
        <w:rPr>
          <w:rFonts w:hint="eastAsia" w:ascii="黑体" w:hAnsi="黑体" w:eastAsia="黑体" w:cs="黑体"/>
          <w:sz w:val="40"/>
          <w:szCs w:val="40"/>
          <w:lang w:val="en-US" w:eastAsia="zh-CN"/>
        </w:rPr>
        <w:t>急诊科120现场急救人员工作服</w:t>
      </w:r>
    </w:p>
    <w:p>
      <w:pPr>
        <w:pStyle w:val="7"/>
        <w:rPr>
          <w:rFonts w:hint="eastAsia" w:ascii="黑体" w:hAnsi="黑体" w:eastAsia="黑体" w:cs="黑体"/>
          <w:lang w:val="en-US" w:eastAsia="zh-CN"/>
        </w:rPr>
      </w:pPr>
    </w:p>
    <w:p>
      <w:pPr>
        <w:jc w:val="center"/>
        <w:rPr>
          <w:rFonts w:hint="eastAsia" w:ascii="黑体" w:hAnsi="黑体" w:eastAsia="黑体" w:cs="黑体"/>
          <w:sz w:val="40"/>
          <w:szCs w:val="40"/>
          <w:lang w:val="en-US" w:eastAsia="zh-CN"/>
        </w:rPr>
      </w:pPr>
      <w:r>
        <w:rPr>
          <w:rFonts w:hint="eastAsia" w:ascii="黑体" w:hAnsi="黑体" w:eastAsia="黑体" w:cs="黑体"/>
          <w:sz w:val="40"/>
          <w:szCs w:val="40"/>
          <w:lang w:eastAsia="zh-CN"/>
        </w:rPr>
        <w:t>项目编号：</w:t>
      </w:r>
      <w:r>
        <w:rPr>
          <w:rFonts w:hint="eastAsia" w:ascii="黑体" w:hAnsi="黑体" w:eastAsia="黑体" w:cs="黑体"/>
          <w:sz w:val="40"/>
          <w:szCs w:val="40"/>
          <w:lang w:val="en-US" w:eastAsia="zh-CN"/>
        </w:rPr>
        <w:t>YNCG005</w:t>
      </w: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p>
    <w:p>
      <w:pPr>
        <w:jc w:val="center"/>
        <w:rPr>
          <w:rFonts w:hint="eastAsia" w:ascii="黑体" w:hAnsi="黑体" w:eastAsia="黑体" w:cs="黑体"/>
          <w:sz w:val="40"/>
          <w:szCs w:val="40"/>
          <w:lang w:eastAsia="zh-CN"/>
        </w:rPr>
      </w:pPr>
      <w:r>
        <w:rPr>
          <w:rFonts w:hint="eastAsia" w:ascii="黑体" w:hAnsi="黑体" w:eastAsia="黑体" w:cs="黑体"/>
          <w:sz w:val="40"/>
          <w:szCs w:val="40"/>
          <w:lang w:eastAsia="zh-CN"/>
        </w:rPr>
        <w:t>乐山市五通桥区人民医院采购办</w:t>
      </w:r>
    </w:p>
    <w:p>
      <w:pPr>
        <w:jc w:val="center"/>
        <w:rPr>
          <w:rFonts w:hint="eastAsia" w:ascii="黑体" w:hAnsi="黑体" w:eastAsia="黑体" w:cs="黑体"/>
          <w:sz w:val="40"/>
          <w:szCs w:val="40"/>
          <w:lang w:eastAsia="zh-CN"/>
        </w:rPr>
      </w:pPr>
      <w:r>
        <w:rPr>
          <w:rFonts w:hint="eastAsia" w:ascii="黑体" w:hAnsi="黑体" w:eastAsia="黑体" w:cs="黑体"/>
          <w:sz w:val="40"/>
          <w:szCs w:val="40"/>
          <w:lang w:val="en-US" w:eastAsia="zh-CN"/>
        </w:rPr>
        <w:t xml:space="preserve">2023年 </w:t>
      </w:r>
      <w:r>
        <w:rPr>
          <w:rFonts w:hint="default" w:ascii="黑体" w:hAnsi="黑体" w:eastAsia="黑体" w:cs="黑体"/>
          <w:sz w:val="40"/>
          <w:szCs w:val="40"/>
          <w:lang w:val="en-US" w:eastAsia="zh-CN"/>
        </w:rPr>
        <w:t>9</w:t>
      </w:r>
      <w:r>
        <w:rPr>
          <w:rFonts w:hint="eastAsia" w:ascii="黑体" w:hAnsi="黑体" w:eastAsia="黑体" w:cs="黑体"/>
          <w:sz w:val="40"/>
          <w:szCs w:val="40"/>
          <w:lang w:val="en-US" w:eastAsia="zh-CN"/>
        </w:rPr>
        <w:t>月</w:t>
      </w:r>
      <w:r>
        <w:rPr>
          <w:rFonts w:hint="eastAsia" w:ascii="黑体" w:hAnsi="黑体" w:eastAsia="黑体" w:cs="黑体"/>
          <w:sz w:val="40"/>
          <w:szCs w:val="40"/>
          <w:lang w:eastAsia="zh-CN"/>
        </w:rPr>
        <w:br w:type="page"/>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第一章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乐山市五通桥区人民医院</w:t>
      </w:r>
    </w:p>
    <w:p>
      <w:pPr>
        <w:jc w:val="center"/>
        <w:rPr>
          <w:rFonts w:hint="eastAsia" w:ascii="黑体" w:hAnsi="黑体" w:eastAsia="黑体" w:cs="黑体"/>
          <w:sz w:val="36"/>
          <w:szCs w:val="36"/>
          <w:lang w:eastAsia="zh-CN"/>
        </w:rPr>
      </w:pPr>
      <w:r>
        <w:rPr>
          <w:rFonts w:hint="eastAsia" w:ascii="黑体" w:hAnsi="黑体" w:eastAsia="黑体" w:cs="黑体"/>
          <w:sz w:val="36"/>
          <w:szCs w:val="36"/>
          <w:lang w:val="en-US" w:eastAsia="zh-CN"/>
        </w:rPr>
        <w:t>急诊科120现场急救人员工作服</w:t>
      </w:r>
      <w:r>
        <w:rPr>
          <w:rFonts w:hint="eastAsia" w:ascii="黑体" w:hAnsi="黑体" w:eastAsia="黑体" w:cs="黑体"/>
          <w:sz w:val="36"/>
          <w:szCs w:val="36"/>
          <w:lang w:eastAsia="zh-CN"/>
        </w:rPr>
        <w:t>院内</w:t>
      </w:r>
      <w:r>
        <w:rPr>
          <w:rFonts w:hint="eastAsia" w:ascii="黑体" w:hAnsi="黑体" w:eastAsia="黑体" w:cs="黑体"/>
          <w:color w:val="FF0000"/>
          <w:sz w:val="36"/>
          <w:szCs w:val="36"/>
          <w:lang w:val="en-US" w:eastAsia="zh-CN"/>
        </w:rPr>
        <w:t>询价</w:t>
      </w:r>
      <w:r>
        <w:rPr>
          <w:rFonts w:hint="eastAsia" w:ascii="黑体" w:hAnsi="黑体" w:eastAsia="黑体" w:cs="黑体"/>
          <w:sz w:val="36"/>
          <w:szCs w:val="36"/>
          <w:lang w:eastAsia="zh-CN"/>
        </w:rPr>
        <w:t>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555555"/>
          <w:kern w:val="0"/>
          <w:sz w:val="28"/>
          <w:szCs w:val="28"/>
          <w:lang w:eastAsia="zh-CN"/>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eastAsia="zh-CN"/>
        </w:rPr>
        <w:t>项目采购编号：</w:t>
      </w:r>
      <w:r>
        <w:rPr>
          <w:rFonts w:hint="eastAsia" w:ascii="仿宋" w:hAnsi="仿宋" w:eastAsia="仿宋" w:cs="仿宋"/>
          <w:color w:val="555555"/>
          <w:kern w:val="0"/>
          <w:sz w:val="32"/>
          <w:szCs w:val="32"/>
          <w:lang w:val="en-US" w:eastAsia="zh-CN"/>
        </w:rPr>
        <w:t>YNCG005，项目包数量：1个</w:t>
      </w:r>
    </w:p>
    <w:p>
      <w:pPr>
        <w:pStyle w:val="16"/>
        <w:spacing w:line="240" w:lineRule="auto"/>
        <w:rPr>
          <w:rFonts w:hint="default"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二、项目背景：</w:t>
      </w:r>
      <w:r>
        <w:rPr>
          <w:rFonts w:hint="eastAsia" w:ascii="仿宋" w:hAnsi="仿宋" w:eastAsia="仿宋" w:cs="仿宋"/>
          <w:color w:val="555555"/>
          <w:kern w:val="0"/>
          <w:sz w:val="32"/>
          <w:szCs w:val="32"/>
          <w:lang w:val="en-US" w:eastAsia="zh-CN" w:bidi="ar-SA"/>
        </w:rPr>
        <w:t>院前医疗急救从业人员统一着装，对于规范院前医疗急救、提升院前医疗急救工作人员在人民心中的固化认识，树立行院前医疗急救队伍的良好形象</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三、采购项目内容（详细要求请看附件）：</w:t>
      </w:r>
    </w:p>
    <w:p>
      <w:pPr>
        <w:pStyle w:val="2"/>
        <w:rPr>
          <w:rFonts w:hint="default"/>
          <w:lang w:val="en-US" w:eastAsia="zh-CN"/>
        </w:rPr>
      </w:pP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lang w:val="en-US" w:eastAsia="zh-CN" w:bidi="ar-SA"/>
        </w:rPr>
        <w:t xml:space="preserve">  急诊科120现场急救人员工作服，预算</w:t>
      </w:r>
      <w:r>
        <w:rPr>
          <w:rFonts w:hint="default" w:ascii="仿宋" w:hAnsi="仿宋" w:eastAsia="仿宋" w:cs="仿宋"/>
          <w:color w:val="555555"/>
          <w:kern w:val="0"/>
          <w:sz w:val="32"/>
          <w:szCs w:val="32"/>
          <w:lang w:val="en-US" w:eastAsia="zh-CN" w:bidi="ar-SA"/>
        </w:rPr>
        <w:t>17664</w:t>
      </w:r>
      <w:r>
        <w:rPr>
          <w:rFonts w:hint="eastAsia" w:ascii="仿宋" w:hAnsi="仿宋" w:eastAsia="仿宋" w:cs="仿宋"/>
          <w:color w:val="555555"/>
          <w:kern w:val="0"/>
          <w:sz w:val="32"/>
          <w:szCs w:val="32"/>
          <w:lang w:val="en-US" w:eastAsia="zh-CN" w:bidi="ar-SA"/>
        </w:rPr>
        <w:t xml:space="preserve"> 元</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eastAsia="zh-CN"/>
        </w:rPr>
      </w:pPr>
      <w:r>
        <w:rPr>
          <w:rFonts w:hint="eastAsia" w:ascii="仿宋" w:hAnsi="仿宋" w:eastAsia="仿宋" w:cs="仿宋"/>
          <w:color w:val="555555"/>
          <w:kern w:val="0"/>
          <w:sz w:val="32"/>
          <w:szCs w:val="32"/>
          <w:lang w:eastAsia="zh-CN"/>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555555"/>
          <w:kern w:val="0"/>
          <w:sz w:val="32"/>
          <w:szCs w:val="32"/>
          <w:lang w:val="en-US" w:eastAsia="zh-CN"/>
        </w:rPr>
        <w:t>1.具有独立承担民事责任的能力；依法缴纳税收和社会保障资金的良好记录（承诺函）。</w:t>
      </w: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2.具有良好的商业制度和健全的财务制度；履行合同所必须的设备和专业技术能力（承诺函）。</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3.参加本次采购活动前三年内，在经营活动中没有重大违法记录（承诺函）。</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4.</w:t>
      </w:r>
      <w:r>
        <w:rPr>
          <w:rFonts w:hint="eastAsia" w:ascii="仿宋" w:hAnsi="仿宋" w:eastAsia="仿宋" w:cs="仿宋"/>
          <w:color w:val="555555"/>
          <w:kern w:val="0"/>
          <w:sz w:val="32"/>
          <w:szCs w:val="32"/>
        </w:rPr>
        <w:t>公司的营业执照（</w:t>
      </w:r>
      <w:r>
        <w:rPr>
          <w:rFonts w:hint="eastAsia" w:ascii="仿宋" w:hAnsi="仿宋" w:eastAsia="仿宋" w:cs="仿宋"/>
          <w:color w:val="555555"/>
          <w:kern w:val="0"/>
          <w:sz w:val="32"/>
          <w:szCs w:val="32"/>
          <w:lang w:eastAsia="zh-CN"/>
        </w:rPr>
        <w:t>三证合一</w:t>
      </w:r>
      <w:r>
        <w:rPr>
          <w:rFonts w:hint="eastAsia" w:ascii="仿宋" w:hAnsi="仿宋" w:eastAsia="仿宋" w:cs="仿宋"/>
          <w:color w:val="555555"/>
          <w:kern w:val="0"/>
          <w:sz w:val="32"/>
          <w:szCs w:val="32"/>
        </w:rPr>
        <w:t>）</w:t>
      </w:r>
      <w:r>
        <w:rPr>
          <w:rFonts w:hint="eastAsia" w:ascii="仿宋" w:hAnsi="仿宋" w:eastAsia="仿宋" w:cs="仿宋"/>
          <w:color w:val="555555"/>
          <w:kern w:val="0"/>
          <w:sz w:val="32"/>
          <w:szCs w:val="32"/>
          <w:lang w:eastAsia="zh-CN"/>
        </w:rPr>
        <w:t>复印件</w:t>
      </w:r>
      <w:r>
        <w:rPr>
          <w:rFonts w:hint="eastAsia" w:ascii="仿宋" w:hAnsi="仿宋" w:eastAsia="仿宋" w:cs="仿宋"/>
          <w:color w:val="555555"/>
          <w:kern w:val="0"/>
          <w:sz w:val="32"/>
          <w:szCs w:val="32"/>
        </w:rPr>
        <w:t>加盖鲜章</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法定代表人授权委托书（法定代表人参与的须提供法定代表人证明书）</w:t>
      </w:r>
      <w:r>
        <w:rPr>
          <w:rFonts w:hint="eastAsia" w:ascii="仿宋" w:hAnsi="仿宋" w:eastAsia="仿宋" w:cs="仿宋"/>
          <w:color w:val="555555"/>
          <w:kern w:val="0"/>
          <w:sz w:val="32"/>
          <w:szCs w:val="32"/>
          <w:lang w:eastAsia="zh-CN"/>
        </w:rPr>
        <w:t>，</w:t>
      </w:r>
      <w:r>
        <w:rPr>
          <w:rFonts w:hint="eastAsia" w:ascii="仿宋" w:hAnsi="仿宋" w:eastAsia="仿宋" w:cs="仿宋"/>
          <w:color w:val="555555"/>
          <w:kern w:val="0"/>
          <w:sz w:val="32"/>
          <w:szCs w:val="32"/>
        </w:rPr>
        <w:t>法定代表人和授权代表的身份证</w:t>
      </w:r>
      <w:r>
        <w:rPr>
          <w:rFonts w:hint="eastAsia" w:ascii="仿宋" w:hAnsi="仿宋" w:eastAsia="仿宋" w:cs="仿宋"/>
          <w:color w:val="555555"/>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rPr>
      </w:pPr>
      <w:r>
        <w:rPr>
          <w:rFonts w:hint="eastAsia" w:ascii="仿宋" w:hAnsi="仿宋" w:eastAsia="仿宋" w:cs="仿宋"/>
          <w:color w:val="555555"/>
          <w:kern w:val="0"/>
          <w:sz w:val="32"/>
          <w:szCs w:val="32"/>
          <w:lang w:val="en-US" w:eastAsia="zh-CN"/>
        </w:rPr>
        <w:t>5.报价以及资料，采购响应文件文件封面请注明项目名称、联系人、联系电话、自行密封并加盖公章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 xml:space="preserve">    以上资料至少2套，请满足上述资质要求的供应商于</w:t>
      </w:r>
      <w:r>
        <w:rPr>
          <w:rFonts w:hint="eastAsia" w:ascii="仿宋" w:hAnsi="仿宋" w:eastAsia="仿宋" w:cs="仿宋"/>
          <w:color w:val="FF0000"/>
          <w:kern w:val="0"/>
          <w:sz w:val="32"/>
          <w:szCs w:val="32"/>
          <w:lang w:val="en-US" w:eastAsia="zh-CN"/>
        </w:rPr>
        <w:t xml:space="preserve">2023年 9月 </w:t>
      </w:r>
      <w:r>
        <w:rPr>
          <w:rFonts w:hint="default" w:ascii="仿宋" w:hAnsi="仿宋" w:eastAsia="仿宋" w:cs="仿宋"/>
          <w:color w:val="FF0000"/>
          <w:kern w:val="0"/>
          <w:sz w:val="32"/>
          <w:szCs w:val="32"/>
          <w:lang w:val="en-US" w:eastAsia="zh-CN"/>
        </w:rPr>
        <w:t>8</w:t>
      </w:r>
      <w:r>
        <w:rPr>
          <w:rFonts w:hint="eastAsia" w:ascii="仿宋" w:hAnsi="仿宋" w:eastAsia="仿宋" w:cs="仿宋"/>
          <w:color w:val="FF0000"/>
          <w:kern w:val="0"/>
          <w:sz w:val="32"/>
          <w:szCs w:val="32"/>
          <w:lang w:val="en-US" w:eastAsia="zh-CN"/>
        </w:rPr>
        <w:t>日17:</w:t>
      </w:r>
      <w:r>
        <w:rPr>
          <w:rFonts w:hint="default" w:ascii="仿宋" w:hAnsi="仿宋" w:eastAsia="仿宋" w:cs="仿宋"/>
          <w:color w:val="FF0000"/>
          <w:kern w:val="0"/>
          <w:sz w:val="32"/>
          <w:szCs w:val="32"/>
          <w:lang w:val="en-US" w:eastAsia="zh-CN"/>
        </w:rPr>
        <w:t>2</w:t>
      </w:r>
      <w:r>
        <w:rPr>
          <w:rFonts w:hint="eastAsia" w:ascii="仿宋" w:hAnsi="仿宋" w:eastAsia="仿宋" w:cs="仿宋"/>
          <w:color w:val="FF0000"/>
          <w:kern w:val="0"/>
          <w:sz w:val="32"/>
          <w:szCs w:val="32"/>
          <w:lang w:val="en-US" w:eastAsia="zh-CN"/>
        </w:rPr>
        <w:t>0</w:t>
      </w:r>
      <w:r>
        <w:rPr>
          <w:rFonts w:hint="eastAsia" w:ascii="仿宋" w:hAnsi="仿宋" w:eastAsia="仿宋" w:cs="仿宋"/>
          <w:color w:val="555555"/>
          <w:kern w:val="0"/>
          <w:sz w:val="32"/>
          <w:szCs w:val="32"/>
          <w:lang w:val="en-US" w:eastAsia="zh-CN"/>
        </w:rPr>
        <w:t>之前将资料送至乐山市五通桥区人民医院采购科（行政楼三楼楼梯处），在截至时间以后送到的询价响应文件将被拒绝并退还给供应商。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1.方案报价在60日内有效，报价包括文件编制、差旅、人工等费用。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555555"/>
          <w:kern w:val="0"/>
          <w:sz w:val="32"/>
          <w:szCs w:val="32"/>
          <w:lang w:val="en-US" w:eastAsia="zh-CN"/>
        </w:rPr>
      </w:pPr>
      <w:r>
        <w:rPr>
          <w:rFonts w:hint="eastAsia" w:ascii="仿宋" w:hAnsi="仿宋" w:eastAsia="仿宋" w:cs="仿宋"/>
          <w:color w:val="555555"/>
          <w:kern w:val="0"/>
          <w:sz w:val="32"/>
          <w:szCs w:val="32"/>
          <w:lang w:val="en-US" w:eastAsia="zh-CN"/>
        </w:rPr>
        <w:t>2.在供应商满足相关资质要求及服务要求的条件下，询价采用最低价/综合评分法（若为谈判或磋商，开标时间另行通知），中标结果由医院网站公示，中标公司请在公示后30日内到采购办签订合同，超过公示期内视为放弃中标资格。</w:t>
      </w:r>
    </w:p>
    <w:p>
      <w:pPr>
        <w:pStyle w:val="16"/>
        <w:spacing w:line="240" w:lineRule="auto"/>
        <w:rPr>
          <w:rFonts w:hint="eastAsia" w:ascii="仿宋" w:hAnsi="仿宋" w:eastAsia="仿宋" w:cs="仿宋"/>
          <w:sz w:val="32"/>
          <w:szCs w:val="32"/>
          <w:lang w:val="en-US" w:eastAsia="zh-CN"/>
        </w:rPr>
      </w:pPr>
      <w:r>
        <w:rPr>
          <w:rFonts w:hint="eastAsia" w:ascii="仿宋" w:hAnsi="仿宋" w:eastAsia="仿宋" w:cs="仿宋"/>
          <w:color w:val="555555"/>
          <w:kern w:val="0"/>
          <w:sz w:val="32"/>
          <w:szCs w:val="32"/>
          <w:lang w:val="en-US" w:eastAsia="zh-CN"/>
        </w:rPr>
        <w:t xml:space="preserve">   3.本项目不接受联合体</w:t>
      </w:r>
    </w:p>
    <w:p>
      <w:pPr>
        <w:keepNext w:val="0"/>
        <w:keepLines w:val="0"/>
        <w:pageBreakBefore w:val="0"/>
        <w:kinsoku/>
        <w:wordWrap/>
        <w:overflowPunct/>
        <w:topLinePunct w:val="0"/>
        <w:autoSpaceDE/>
        <w:autoSpaceDN/>
        <w:bidi w:val="0"/>
        <w:adjustRightInd/>
        <w:snapToGrid/>
        <w:spacing w:line="240" w:lineRule="auto"/>
        <w:textAlignment w:val="auto"/>
        <w:rPr>
          <w:rFonts w:hint="default" w:ascii="仿宋" w:hAnsi="仿宋" w:eastAsia="仿宋" w:cs="仿宋"/>
          <w:color w:val="555555"/>
          <w:kern w:val="0"/>
          <w:sz w:val="32"/>
          <w:szCs w:val="32"/>
          <w:lang w:val="en-US"/>
        </w:rPr>
      </w:pPr>
      <w:r>
        <w:rPr>
          <w:rFonts w:hint="eastAsia" w:ascii="仿宋" w:hAnsi="仿宋" w:eastAsia="仿宋" w:cs="仿宋"/>
          <w:color w:val="555555"/>
          <w:kern w:val="0"/>
          <w:sz w:val="32"/>
          <w:szCs w:val="32"/>
        </w:rPr>
        <w:t>联系人:</w:t>
      </w:r>
      <w:r>
        <w:rPr>
          <w:rFonts w:hint="eastAsia" w:ascii="仿宋" w:hAnsi="仿宋" w:eastAsia="仿宋" w:cs="仿宋"/>
          <w:color w:val="555555"/>
          <w:kern w:val="0"/>
          <w:sz w:val="32"/>
          <w:szCs w:val="32"/>
          <w:lang w:eastAsia="zh-CN"/>
        </w:rPr>
        <w:t>徐老师</w:t>
      </w:r>
      <w:r>
        <w:rPr>
          <w:rFonts w:hint="eastAsia" w:ascii="仿宋" w:hAnsi="仿宋" w:eastAsia="仿宋" w:cs="仿宋"/>
          <w:color w:val="555555"/>
          <w:kern w:val="0"/>
          <w:sz w:val="32"/>
          <w:szCs w:val="32"/>
        </w:rPr>
        <w:t xml:space="preserve"> </w:t>
      </w:r>
      <w:r>
        <w:rPr>
          <w:rFonts w:hint="eastAsia" w:ascii="仿宋" w:hAnsi="仿宋" w:eastAsia="仿宋" w:cs="仿宋"/>
          <w:color w:val="555555"/>
          <w:kern w:val="0"/>
          <w:sz w:val="32"/>
          <w:szCs w:val="32"/>
          <w:lang w:val="en-US" w:eastAsia="zh-CN"/>
        </w:rPr>
        <w:t xml:space="preserve">      </w:t>
      </w:r>
      <w:r>
        <w:rPr>
          <w:rFonts w:hint="eastAsia" w:ascii="仿宋" w:hAnsi="仿宋" w:eastAsia="仿宋" w:cs="仿宋"/>
          <w:color w:val="555555"/>
          <w:kern w:val="0"/>
          <w:sz w:val="32"/>
          <w:szCs w:val="32"/>
        </w:rPr>
        <w:t>联系电话:</w:t>
      </w:r>
      <w:r>
        <w:rPr>
          <w:rFonts w:hint="default" w:ascii="仿宋" w:hAnsi="仿宋" w:eastAsia="仿宋" w:cs="仿宋"/>
          <w:color w:val="555555"/>
          <w:kern w:val="0"/>
          <w:sz w:val="32"/>
          <w:szCs w:val="32"/>
          <w:lang w:val="en-US"/>
        </w:rPr>
        <w:t>19218337819</w:t>
      </w:r>
    </w:p>
    <w:p>
      <w:pPr>
        <w:pStyle w:val="2"/>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rPr>
      </w:pPr>
    </w:p>
    <w:p>
      <w:pPr>
        <w:pStyle w:val="30"/>
        <w:rPr>
          <w:rFonts w:hint="eastAsia" w:ascii="仿宋" w:hAnsi="仿宋" w:eastAsia="仿宋" w:cs="仿宋"/>
          <w:color w:val="555555"/>
          <w:kern w:val="0"/>
          <w:sz w:val="32"/>
          <w:szCs w:val="32"/>
          <w:lang w:val="en-US" w:eastAsia="zh-CN"/>
        </w:rPr>
      </w:pPr>
    </w:p>
    <w:p>
      <w:pPr>
        <w:rPr>
          <w:rFonts w:hint="eastAsia" w:ascii="黑体" w:hAnsi="黑体" w:eastAsia="黑体" w:cs="黑体"/>
          <w:b/>
          <w:bCs/>
          <w:color w:val="auto"/>
          <w:sz w:val="72"/>
          <w:szCs w:val="72"/>
          <w:lang w:val="en-US" w:eastAsia="zh-CN"/>
        </w:rPr>
      </w:pPr>
      <w:r>
        <w:rPr>
          <w:rFonts w:hint="eastAsia" w:ascii="黑体" w:hAnsi="黑体" w:eastAsia="黑体" w:cs="黑体"/>
          <w:b/>
          <w:bCs/>
          <w:color w:val="auto"/>
          <w:sz w:val="72"/>
          <w:szCs w:val="72"/>
          <w:lang w:val="en-US" w:eastAsia="zh-CN"/>
        </w:rPr>
        <w:br w:type="page"/>
      </w:r>
    </w:p>
    <w:p>
      <w:pPr>
        <w:spacing w:line="300" w:lineRule="exact"/>
        <w:jc w:val="center"/>
        <w:rPr>
          <w:rFonts w:hint="eastAsia" w:ascii="仿宋" w:hAnsi="仿宋" w:eastAsia="仿宋" w:cs="仿宋"/>
          <w:b/>
          <w:sz w:val="32"/>
          <w:szCs w:val="32"/>
          <w:lang w:eastAsia="zh-CN"/>
        </w:rPr>
      </w:pPr>
    </w:p>
    <w:p>
      <w:pPr>
        <w:pStyle w:val="2"/>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pPr>
        <w:pStyle w:val="30"/>
        <w:spacing w:line="240" w:lineRule="auto"/>
        <w:rPr>
          <w:rFonts w:hint="eastAsia"/>
          <w:lang w:eastAsia="zh-CN"/>
        </w:rPr>
      </w:pPr>
    </w:p>
    <w:p>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本询价项目参照《中华人民共和国政府采购法》《四川省政府采购非招标采购方式实施办法》等有关法律、法规和规章，通过</w:t>
      </w:r>
      <w:r>
        <w:rPr>
          <w:rFonts w:hint="eastAsia" w:ascii="仿宋" w:hAnsi="仿宋" w:eastAsia="仿宋" w:cs="仿宋"/>
          <w:color w:val="FF0000"/>
          <w:sz w:val="32"/>
          <w:szCs w:val="32"/>
          <w:lang w:val="en-US" w:eastAsia="zh-CN"/>
        </w:rPr>
        <w:t>综合评分</w:t>
      </w:r>
      <w:r>
        <w:rPr>
          <w:rFonts w:hint="eastAsia" w:ascii="仿宋" w:hAnsi="仿宋" w:eastAsia="仿宋" w:cs="仿宋"/>
          <w:sz w:val="32"/>
          <w:szCs w:val="32"/>
          <w:lang w:val="en-US" w:eastAsia="zh-CN"/>
        </w:rPr>
        <w:t>的</w:t>
      </w:r>
      <w:r>
        <w:rPr>
          <w:rFonts w:hint="eastAsia" w:ascii="仿宋" w:hAnsi="仿宋" w:eastAsia="仿宋" w:cs="仿宋"/>
          <w:sz w:val="32"/>
          <w:szCs w:val="32"/>
        </w:rPr>
        <w:t>方式确定成交供应商。</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本项目</w:t>
      </w:r>
      <w:r>
        <w:rPr>
          <w:rFonts w:hint="eastAsia" w:ascii="仿宋" w:hAnsi="仿宋" w:eastAsia="仿宋" w:cs="仿宋"/>
          <w:sz w:val="32"/>
          <w:szCs w:val="32"/>
          <w:lang w:eastAsia="zh-CN"/>
        </w:rPr>
        <w:t>采购</w:t>
      </w:r>
      <w:r>
        <w:rPr>
          <w:rFonts w:hint="eastAsia" w:ascii="仿宋" w:hAnsi="仿宋" w:eastAsia="仿宋" w:cs="仿宋"/>
          <w:sz w:val="32"/>
          <w:szCs w:val="32"/>
        </w:rPr>
        <w:t>范围包括价格、质量、服务等方面内容，交货时间在合同中约定。</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供应商自行承担本项目询价活动所发生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比选响应文件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比选响应文件的打印和书写应清楚工整，签字确认并加盖公章，否则无效。供应商为法人的，应当由其法定代表人或者代理人签字确认。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将不允许其参加最后报价。</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结束后，</w:t>
      </w:r>
      <w:r>
        <w:rPr>
          <w:rFonts w:hint="eastAsia" w:ascii="仿宋" w:hAnsi="仿宋" w:eastAsia="仿宋" w:cs="仿宋"/>
          <w:color w:val="000000"/>
          <w:sz w:val="32"/>
          <w:szCs w:val="32"/>
          <w:lang w:eastAsia="zh-CN"/>
        </w:rPr>
        <w:t>评审小组要求供应商现场进行</w:t>
      </w:r>
      <w:r>
        <w:rPr>
          <w:rFonts w:hint="eastAsia" w:ascii="仿宋" w:hAnsi="仿宋" w:eastAsia="仿宋" w:cs="仿宋"/>
          <w:sz w:val="32"/>
          <w:szCs w:val="32"/>
        </w:rPr>
        <w:t>最终报价</w:t>
      </w:r>
      <w:r>
        <w:rPr>
          <w:rFonts w:hint="eastAsia" w:ascii="仿宋" w:hAnsi="仿宋" w:eastAsia="仿宋" w:cs="仿宋"/>
          <w:sz w:val="32"/>
          <w:szCs w:val="32"/>
          <w:lang w:eastAsia="zh-CN"/>
        </w:rPr>
        <w:t>填报后</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根据符合采购需求、质量和服务相等且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的原则推荐成交候选供应商，由采购人授权</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确认成交供应商，</w:t>
      </w:r>
      <w:r>
        <w:rPr>
          <w:rFonts w:hint="eastAsia" w:ascii="仿宋" w:hAnsi="仿宋" w:eastAsia="仿宋" w:cs="仿宋"/>
          <w:color w:val="000000"/>
          <w:sz w:val="32"/>
          <w:szCs w:val="32"/>
          <w:lang w:eastAsia="zh-CN"/>
        </w:rPr>
        <w:t>采购办</w:t>
      </w:r>
      <w:r>
        <w:rPr>
          <w:rFonts w:hint="eastAsia" w:ascii="仿宋" w:hAnsi="仿宋" w:eastAsia="仿宋" w:cs="仿宋"/>
          <w:color w:val="000000"/>
          <w:sz w:val="32"/>
          <w:szCs w:val="32"/>
        </w:rPr>
        <w:t>于</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个工作日内在</w:t>
      </w:r>
      <w:r>
        <w:rPr>
          <w:rFonts w:hint="eastAsia" w:ascii="仿宋" w:hAnsi="仿宋" w:eastAsia="仿宋" w:cs="仿宋"/>
          <w:color w:val="000000"/>
          <w:sz w:val="32"/>
          <w:szCs w:val="32"/>
          <w:lang w:eastAsia="zh-CN"/>
        </w:rPr>
        <w:t>乐山市五通桥区人民医院</w:t>
      </w:r>
      <w:r>
        <w:rPr>
          <w:rFonts w:hint="eastAsia" w:ascii="仿宋" w:hAnsi="仿宋" w:eastAsia="仿宋" w:cs="仿宋"/>
          <w:color w:val="000000"/>
          <w:sz w:val="32"/>
          <w:szCs w:val="32"/>
          <w:lang w:val="en-US" w:eastAsia="zh-CN"/>
        </w:rPr>
        <w:t>网</w:t>
      </w:r>
      <w:r>
        <w:rPr>
          <w:rFonts w:hint="eastAsia" w:ascii="仿宋" w:hAnsi="仿宋" w:eastAsia="仿宋" w:cs="仿宋"/>
          <w:color w:val="000000"/>
          <w:sz w:val="32"/>
          <w:szCs w:val="32"/>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四、成交标准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后最终报价为依据（未组织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的，以报价响应文件中的报价为依据），体现满足采购项目要求</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且</w:t>
      </w:r>
      <w:r>
        <w:rPr>
          <w:rFonts w:hint="eastAsia" w:ascii="仿宋" w:hAnsi="仿宋" w:eastAsia="仿宋" w:cs="仿宋"/>
          <w:color w:val="FF0000"/>
          <w:sz w:val="32"/>
          <w:szCs w:val="32"/>
          <w:lang w:eastAsia="zh-CN"/>
        </w:rPr>
        <w:t>综合评分最高</w:t>
      </w:r>
      <w:r>
        <w:rPr>
          <w:rFonts w:hint="eastAsia" w:ascii="仿宋" w:hAnsi="仿宋" w:eastAsia="仿宋" w:cs="仿宋"/>
          <w:color w:val="000000"/>
          <w:sz w:val="32"/>
          <w:szCs w:val="32"/>
        </w:rPr>
        <w:t>原则确定成交供应商。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现场</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比选</w:t>
      </w:r>
      <w:r>
        <w:rPr>
          <w:rFonts w:hint="eastAsia" w:ascii="仿宋" w:hAnsi="仿宋" w:eastAsia="仿宋" w:cs="仿宋"/>
          <w:color w:val="000000"/>
          <w:sz w:val="32"/>
          <w:szCs w:val="32"/>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pPr>
        <w:pStyle w:val="2"/>
        <w:rPr>
          <w:rFonts w:hint="eastAsia"/>
          <w:lang w:eastAsia="zh-CN"/>
        </w:rPr>
      </w:pPr>
    </w:p>
    <w:p>
      <w:pPr>
        <w:pStyle w:val="7"/>
        <w:ind w:left="0" w:leftChars="0" w:firstLine="0" w:firstLineChars="0"/>
        <w:rPr>
          <w:rFonts w:hint="eastAsia" w:ascii="黑体" w:hAnsi="黑体" w:eastAsia="黑体" w:cs="黑体"/>
          <w:lang w:eastAsia="zh-CN"/>
        </w:rPr>
      </w:pPr>
    </w:p>
    <w:p>
      <w:pPr>
        <w:rPr>
          <w:rFonts w:hint="eastAsia" w:ascii="黑体" w:hAnsi="黑体" w:eastAsia="黑体" w:cs="黑体"/>
          <w:lang w:val="en-US" w:eastAsia="zh-CN"/>
        </w:rPr>
      </w:pPr>
    </w:p>
    <w:p>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pPr>
        <w:spacing w:line="400" w:lineRule="exact"/>
        <w:ind w:firstLine="4897" w:firstLineChars="583"/>
        <w:rPr>
          <w:rFonts w:hint="eastAsia" w:ascii="黑体" w:hAnsi="黑体" w:eastAsia="黑体" w:cs="黑体"/>
          <w:sz w:val="84"/>
          <w:szCs w:val="84"/>
          <w:lang w:eastAsia="zh-CN"/>
        </w:rPr>
      </w:pPr>
    </w:p>
    <w:p>
      <w:pPr>
        <w:pStyle w:val="2"/>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询价、谈判、磋商文件</w:t>
      </w:r>
    </w:p>
    <w:p>
      <w:pPr>
        <w:rPr>
          <w:rFonts w:hint="eastAsia" w:ascii="黑体" w:hAnsi="黑体" w:eastAsia="黑体" w:cs="黑体"/>
          <w:sz w:val="84"/>
          <w:szCs w:val="84"/>
          <w:lang w:val="en-US" w:eastAsia="zh-CN"/>
        </w:rPr>
      </w:pPr>
    </w:p>
    <w:p>
      <w:pPr>
        <w:pStyle w:val="2"/>
        <w:rPr>
          <w:rFonts w:hint="eastAsia" w:ascii="黑体" w:hAnsi="黑体" w:eastAsia="黑体" w:cs="黑体"/>
          <w:lang w:val="en-US" w:eastAsia="zh-CN"/>
        </w:rPr>
      </w:pPr>
    </w:p>
    <w:p>
      <w:pPr>
        <w:spacing w:line="400" w:lineRule="exact"/>
        <w:ind w:firstLine="4897" w:firstLineChars="583"/>
        <w:rPr>
          <w:rFonts w:hint="eastAsia" w:ascii="黑体" w:hAnsi="黑体" w:eastAsia="黑体" w:cs="黑体"/>
          <w:sz w:val="84"/>
          <w:szCs w:val="84"/>
        </w:rPr>
      </w:pPr>
    </w:p>
    <w:p>
      <w:pPr>
        <w:spacing w:line="400" w:lineRule="exact"/>
        <w:ind w:firstLine="4897" w:firstLineChars="583"/>
        <w:rPr>
          <w:rFonts w:hint="eastAsia" w:ascii="黑体" w:hAnsi="黑体" w:eastAsia="黑体" w:cs="黑体"/>
          <w:sz w:val="84"/>
          <w:szCs w:val="84"/>
        </w:rPr>
      </w:pPr>
    </w:p>
    <w:p>
      <w:pPr>
        <w:spacing w:line="400" w:lineRule="exact"/>
        <w:rPr>
          <w:rFonts w:hint="eastAsia" w:ascii="黑体" w:hAnsi="黑体" w:eastAsia="黑体" w:cs="黑体"/>
          <w:b/>
          <w:bCs/>
          <w:sz w:val="30"/>
          <w:szCs w:val="30"/>
        </w:rPr>
      </w:pPr>
    </w:p>
    <w:p>
      <w:pPr>
        <w:widowControl w:val="0"/>
        <w:adjustRightInd/>
        <w:spacing w:line="360" w:lineRule="auto"/>
        <w:rPr>
          <w:rFonts w:hint="eastAsia" w:ascii="黑体" w:hAnsi="黑体" w:eastAsia="黑体" w:cs="黑体"/>
          <w:b/>
          <w:sz w:val="30"/>
          <w:szCs w:val="30"/>
          <w:u w:val="single"/>
        </w:rPr>
      </w:pPr>
      <w:r>
        <w:rPr>
          <w:rFonts w:hint="eastAsia" w:ascii="黑体" w:hAnsi="黑体" w:eastAsia="黑体" w:cs="黑体"/>
          <w:b/>
          <w:bCs/>
          <w:sz w:val="30"/>
          <w:szCs w:val="30"/>
        </w:rPr>
        <w:t>项目名称：</w:t>
      </w:r>
      <w:r>
        <w:rPr>
          <w:rFonts w:hint="eastAsia" w:ascii="黑体" w:hAnsi="黑体" w:eastAsia="黑体" w:cs="黑体"/>
          <w:b/>
          <w:sz w:val="30"/>
          <w:szCs w:val="30"/>
          <w:u w:val="single"/>
        </w:rPr>
        <w:t xml:space="preserve">                               </w:t>
      </w:r>
    </w:p>
    <w:p>
      <w:pPr>
        <w:widowControl w:val="0"/>
        <w:adjustRightInd/>
        <w:spacing w:line="360" w:lineRule="auto"/>
        <w:rPr>
          <w:rFonts w:hint="eastAsia" w:ascii="黑体" w:hAnsi="黑体" w:eastAsia="黑体" w:cs="黑体"/>
          <w:b/>
          <w:bCs/>
          <w:sz w:val="30"/>
          <w:szCs w:val="30"/>
          <w:u w:val="single"/>
        </w:rPr>
      </w:pPr>
      <w:r>
        <w:rPr>
          <w:rFonts w:hint="eastAsia" w:ascii="黑体" w:hAnsi="黑体" w:eastAsia="黑体" w:cs="黑体"/>
          <w:b/>
          <w:bCs/>
          <w:sz w:val="30"/>
          <w:szCs w:val="30"/>
          <w:lang w:eastAsia="zh-CN"/>
        </w:rPr>
        <w:t>供应</w:t>
      </w:r>
      <w:r>
        <w:rPr>
          <w:rFonts w:hint="eastAsia" w:ascii="黑体" w:hAnsi="黑体" w:eastAsia="黑体" w:cs="黑体"/>
          <w:b/>
          <w:bCs/>
          <w:sz w:val="30"/>
          <w:szCs w:val="30"/>
        </w:rPr>
        <w:t>商名称</w:t>
      </w:r>
      <w:r>
        <w:rPr>
          <w:rFonts w:hint="eastAsia" w:ascii="黑体" w:hAnsi="黑体" w:eastAsia="黑体" w:cs="黑体"/>
          <w:b/>
          <w:sz w:val="30"/>
          <w:szCs w:val="30"/>
        </w:rPr>
        <w:t xml:space="preserve">： </w:t>
      </w:r>
      <w:r>
        <w:rPr>
          <w:rFonts w:hint="eastAsia" w:ascii="黑体" w:hAnsi="黑体" w:eastAsia="黑体" w:cs="黑体"/>
          <w:sz w:val="30"/>
          <w:szCs w:val="30"/>
          <w:u w:val="single"/>
        </w:rPr>
        <w:t xml:space="preserve">                       </w:t>
      </w:r>
      <w:r>
        <w:rPr>
          <w:rFonts w:hint="eastAsia" w:ascii="黑体" w:hAnsi="黑体" w:eastAsia="黑体" w:cs="黑体"/>
          <w:b/>
          <w:bCs/>
          <w:sz w:val="30"/>
          <w:szCs w:val="30"/>
        </w:rPr>
        <w:t>（盖章）</w:t>
      </w:r>
    </w:p>
    <w:p>
      <w:pPr>
        <w:widowControl w:val="0"/>
        <w:adjustRightInd/>
        <w:spacing w:line="360" w:lineRule="auto"/>
        <w:rPr>
          <w:rFonts w:hint="eastAsia" w:ascii="黑体" w:hAnsi="黑体" w:eastAsia="黑体" w:cs="黑体"/>
          <w:b/>
          <w:bCs/>
          <w:sz w:val="30"/>
          <w:szCs w:val="30"/>
        </w:rPr>
      </w:pPr>
      <w:r>
        <w:rPr>
          <w:rFonts w:hint="eastAsia" w:ascii="黑体" w:hAnsi="黑体" w:eastAsia="黑体" w:cs="黑体"/>
          <w:b/>
          <w:bCs/>
          <w:sz w:val="30"/>
          <w:szCs w:val="30"/>
        </w:rPr>
        <w:t>法定代表人或授权代表：</w:t>
      </w:r>
      <w:r>
        <w:rPr>
          <w:rFonts w:hint="eastAsia" w:ascii="黑体" w:hAnsi="黑体" w:eastAsia="黑体" w:cs="黑体"/>
          <w:b/>
          <w:bCs/>
          <w:sz w:val="30"/>
          <w:szCs w:val="30"/>
          <w:u w:val="single"/>
        </w:rPr>
        <w:t xml:space="preserve">             </w:t>
      </w:r>
      <w:r>
        <w:rPr>
          <w:rFonts w:hint="eastAsia" w:ascii="黑体" w:hAnsi="黑体" w:eastAsia="黑体" w:cs="黑体"/>
          <w:b/>
          <w:bCs/>
          <w:sz w:val="30"/>
          <w:szCs w:val="30"/>
        </w:rPr>
        <w:t>（签字或加盖个人名章）</w:t>
      </w:r>
    </w:p>
    <w:p>
      <w:pPr>
        <w:widowControl w:val="0"/>
        <w:adjustRightInd/>
        <w:spacing w:line="360" w:lineRule="auto"/>
        <w:ind w:firstLine="295" w:firstLineChars="98"/>
        <w:rPr>
          <w:rFonts w:hint="eastAsia" w:ascii="黑体" w:hAnsi="黑体" w:eastAsia="黑体" w:cs="黑体"/>
          <w:b/>
          <w:bCs/>
          <w:sz w:val="30"/>
          <w:szCs w:val="30"/>
        </w:rPr>
      </w:pPr>
    </w:p>
    <w:p>
      <w:pPr>
        <w:widowControl w:val="0"/>
        <w:adjustRightInd/>
        <w:spacing w:line="360" w:lineRule="auto"/>
        <w:ind w:firstLine="2850" w:firstLineChars="950"/>
        <w:rPr>
          <w:rFonts w:hint="eastAsia" w:ascii="黑体" w:hAnsi="黑体" w:eastAsia="黑体" w:cs="黑体"/>
          <w:sz w:val="30"/>
          <w:szCs w:val="30"/>
        </w:rPr>
      </w:pPr>
      <w:r>
        <w:rPr>
          <w:rFonts w:hint="eastAsia" w:ascii="黑体" w:hAnsi="黑体" w:eastAsia="黑体" w:cs="黑体"/>
          <w:sz w:val="30"/>
          <w:szCs w:val="30"/>
          <w:u w:val="single"/>
        </w:rPr>
        <w:t xml:space="preserve">    </w:t>
      </w:r>
      <w:r>
        <w:rPr>
          <w:rFonts w:hint="eastAsia" w:ascii="黑体" w:hAnsi="黑体" w:eastAsia="黑体" w:cs="黑体"/>
          <w:sz w:val="30"/>
          <w:szCs w:val="30"/>
        </w:rPr>
        <w:t>年</w:t>
      </w:r>
      <w:r>
        <w:rPr>
          <w:rFonts w:hint="eastAsia" w:ascii="黑体" w:hAnsi="黑体" w:eastAsia="黑体" w:cs="黑体"/>
          <w:sz w:val="30"/>
          <w:szCs w:val="30"/>
          <w:u w:val="single"/>
        </w:rPr>
        <w:t xml:space="preserve">   </w:t>
      </w:r>
      <w:r>
        <w:rPr>
          <w:rFonts w:hint="eastAsia" w:ascii="黑体" w:hAnsi="黑体" w:eastAsia="黑体" w:cs="黑体"/>
          <w:sz w:val="30"/>
          <w:szCs w:val="30"/>
        </w:rPr>
        <w:t>月</w:t>
      </w:r>
      <w:r>
        <w:rPr>
          <w:rFonts w:hint="eastAsia" w:ascii="黑体" w:hAnsi="黑体" w:eastAsia="黑体" w:cs="黑体"/>
          <w:sz w:val="30"/>
          <w:szCs w:val="30"/>
          <w:u w:val="single"/>
        </w:rPr>
        <w:t xml:space="preserve">   </w:t>
      </w:r>
      <w:r>
        <w:rPr>
          <w:rFonts w:hint="eastAsia" w:ascii="黑体" w:hAnsi="黑体" w:eastAsia="黑体" w:cs="黑体"/>
          <w:sz w:val="30"/>
          <w:szCs w:val="30"/>
        </w:rPr>
        <w:t>日</w:t>
      </w:r>
    </w:p>
    <w:p>
      <w:pPr>
        <w:rPr>
          <w:rFonts w:hint="eastAsia" w:ascii="黑体" w:hAnsi="黑体" w:eastAsia="黑体" w:cs="黑体"/>
          <w:b/>
          <w:bCs/>
          <w:sz w:val="32"/>
          <w:szCs w:val="32"/>
        </w:rPr>
      </w:pPr>
      <w:bookmarkStart w:id="0" w:name="_Toc18458"/>
      <w:bookmarkStart w:id="1" w:name="_Toc5773"/>
      <w:bookmarkStart w:id="2" w:name="_Toc25737"/>
      <w:bookmarkStart w:id="3" w:name="_Toc9490"/>
      <w:r>
        <w:rPr>
          <w:rFonts w:hint="eastAsia" w:ascii="黑体" w:hAnsi="黑体" w:eastAsia="黑体" w:cs="黑体"/>
          <w:b/>
          <w:bCs/>
          <w:sz w:val="32"/>
          <w:szCs w:val="32"/>
        </w:rPr>
        <w:br w:type="page"/>
      </w:r>
    </w:p>
    <w:bookmarkEnd w:id="0"/>
    <w:bookmarkEnd w:id="1"/>
    <w:bookmarkEnd w:id="2"/>
    <w:bookmarkEnd w:id="3"/>
    <w:p>
      <w:pPr>
        <w:numPr>
          <w:ilvl w:val="0"/>
          <w:numId w:val="2"/>
        </w:numPr>
        <w:jc w:val="center"/>
        <w:rPr>
          <w:rFonts w:hint="eastAsia" w:ascii="黑体" w:hAnsi="黑体" w:eastAsia="黑体" w:cs="黑体"/>
          <w:b/>
          <w:sz w:val="36"/>
          <w:szCs w:val="36"/>
          <w:lang w:val="en-US" w:eastAsia="zh-CN"/>
        </w:rPr>
      </w:pPr>
      <w:bookmarkStart w:id="4" w:name="_Toc17549"/>
      <w:bookmarkStart w:id="5" w:name="_Toc439699516"/>
      <w:bookmarkStart w:id="6" w:name="_Toc4003"/>
      <w:bookmarkStart w:id="7" w:name="_Toc12449"/>
      <w:r>
        <w:rPr>
          <w:rFonts w:hint="eastAsia" w:ascii="黑体" w:hAnsi="黑体" w:eastAsia="黑体" w:cs="黑体"/>
          <w:b/>
          <w:sz w:val="36"/>
          <w:szCs w:val="36"/>
          <w:lang w:val="en-US" w:eastAsia="zh-CN"/>
        </w:rPr>
        <w:t>采购资质要求</w:t>
      </w:r>
    </w:p>
    <w:p>
      <w:pPr>
        <w:pStyle w:val="2"/>
        <w:rPr>
          <w:rFonts w:hint="eastAsia" w:ascii="黑体" w:hAnsi="黑体" w:eastAsia="黑体" w:cs="黑体"/>
          <w:b/>
          <w:sz w:val="36"/>
          <w:szCs w:val="36"/>
          <w:lang w:val="en-US" w:eastAsia="zh-CN"/>
        </w:rPr>
      </w:pPr>
    </w:p>
    <w:p>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6240"/>
        <w:gridCol w:w="1006"/>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3175" w:type="pct"/>
            <w:noWrap w:val="0"/>
            <w:vAlign w:val="center"/>
          </w:tcPr>
          <w:p>
            <w:pPr>
              <w:snapToGrid w:val="0"/>
              <w:spacing w:line="240" w:lineRule="auto"/>
              <w:contextualSpacing/>
              <w:rPr>
                <w:rFonts w:hint="eastAsia" w:ascii="仿宋" w:hAnsi="仿宋" w:eastAsia="仿宋" w:cs="仿宋"/>
                <w:color w:val="000000"/>
                <w:spacing w:val="2"/>
                <w:sz w:val="32"/>
                <w:szCs w:val="32"/>
                <w:lang w:val="en-US" w:eastAsia="zh-CN"/>
              </w:rPr>
            </w:pPr>
          </w:p>
        </w:tc>
        <w:tc>
          <w:tcPr>
            <w:tcW w:w="512"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c>
          <w:tcPr>
            <w:tcW w:w="840" w:type="pct"/>
            <w:noWrap w:val="0"/>
            <w:vAlign w:val="center"/>
          </w:tcPr>
          <w:p>
            <w:pPr>
              <w:snapToGrid w:val="0"/>
              <w:spacing w:line="240" w:lineRule="auto"/>
              <w:contextualSpacing/>
              <w:rPr>
                <w:rFonts w:hint="eastAsia" w:ascii="仿宋" w:hAnsi="仿宋" w:eastAsia="仿宋" w:cs="仿宋"/>
                <w:color w:val="000000"/>
                <w:spacing w:val="2"/>
                <w:sz w:val="32"/>
                <w:szCs w:val="32"/>
                <w:lang w:eastAsia="zh-CN"/>
              </w:rPr>
            </w:pPr>
          </w:p>
        </w:tc>
      </w:tr>
    </w:tbl>
    <w:p>
      <w:pPr>
        <w:pStyle w:val="2"/>
        <w:rPr>
          <w:rFonts w:hint="eastAsia" w:ascii="仿宋" w:hAnsi="仿宋" w:eastAsia="仿宋" w:cs="仿宋"/>
          <w:color w:val="auto"/>
          <w:sz w:val="30"/>
          <w:szCs w:val="30"/>
          <w:highlight w:val="none"/>
          <w:lang w:eastAsia="zh-CN"/>
        </w:rPr>
      </w:pPr>
    </w:p>
    <w:p>
      <w:pPr>
        <w:pStyle w:val="3"/>
        <w:rPr>
          <w:rFonts w:hint="eastAsia" w:ascii="仿宋" w:hAnsi="仿宋" w:eastAsia="仿宋" w:cs="仿宋"/>
          <w:color w:val="auto"/>
          <w:sz w:val="30"/>
          <w:szCs w:val="30"/>
          <w:highlight w:val="none"/>
          <w:lang w:eastAsia="zh-CN"/>
        </w:rPr>
      </w:pPr>
    </w:p>
    <w:p>
      <w:pPr>
        <w:rPr>
          <w:rFonts w:hint="eastAsia" w:ascii="仿宋" w:hAnsi="仿宋" w:eastAsia="仿宋" w:cs="仿宋"/>
          <w:color w:val="auto"/>
          <w:sz w:val="30"/>
          <w:szCs w:val="30"/>
          <w:highlight w:val="none"/>
          <w:lang w:eastAsia="zh-CN"/>
        </w:rPr>
      </w:pPr>
    </w:p>
    <w:p>
      <w:pPr>
        <w:pStyle w:val="2"/>
        <w:rPr>
          <w:rFonts w:hint="eastAsia"/>
          <w:lang w:eastAsia="zh-CN"/>
        </w:rPr>
      </w:pPr>
    </w:p>
    <w:p>
      <w:pPr>
        <w:pStyle w:val="2"/>
        <w:rPr>
          <w:rFonts w:hint="eastAsia"/>
          <w:lang w:eastAsia="zh-CN"/>
        </w:rPr>
      </w:pPr>
    </w:p>
    <w:p>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pPr>
        <w:pStyle w:val="2"/>
        <w:rPr>
          <w:rFonts w:hint="eastAsia" w:ascii="黑体" w:hAnsi="黑体" w:eastAsia="黑体" w:cs="黑体"/>
          <w:sz w:val="28"/>
          <w:szCs w:val="28"/>
        </w:rPr>
      </w:pPr>
    </w:p>
    <w:p>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pPr>
        <w:pStyle w:val="2"/>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sz w:val="32"/>
          <w:szCs w:val="32"/>
        </w:rPr>
      </w:pPr>
    </w:p>
    <w:p>
      <w:pPr>
        <w:rPr>
          <w:rFonts w:hint="eastAsia"/>
        </w:rPr>
      </w:pP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p>
      <w:pPr>
        <w:pStyle w:val="2"/>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pPr>
        <w:spacing w:beforeLines="100" w:afterLines="200" w:line="320" w:lineRule="exact"/>
        <w:jc w:val="center"/>
        <w:rPr>
          <w:rFonts w:hint="eastAsia" w:ascii="黑体" w:hAnsi="黑体" w:eastAsia="黑体" w:cs="黑体"/>
          <w:color w:val="auto"/>
          <w:sz w:val="40"/>
          <w:szCs w:val="40"/>
        </w:rPr>
      </w:pPr>
      <w:bookmarkStart w:id="8" w:name="_Toc199"/>
      <w:bookmarkStart w:id="9" w:name="_Toc439699522"/>
      <w:bookmarkStart w:id="10" w:name="_Toc1287"/>
      <w:bookmarkStart w:id="11" w:name="_Toc12426"/>
      <w:bookmarkStart w:id="12" w:name="_Toc1800"/>
      <w:bookmarkStart w:id="13" w:name="_Toc24199"/>
      <w:bookmarkStart w:id="14" w:name="_Toc16184"/>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pPr>
        <w:pStyle w:val="27"/>
        <w:spacing w:line="240" w:lineRule="auto"/>
        <w:ind w:left="0" w:leftChars="0" w:firstLine="640" w:firstLineChars="20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pPr>
        <w:pStyle w:val="27"/>
        <w:spacing w:line="240" w:lineRule="auto"/>
        <w:ind w:firstLine="0"/>
        <w:rPr>
          <w:rFonts w:hint="eastAsia" w:ascii="仿宋" w:hAnsi="仿宋" w:eastAsia="仿宋" w:cs="仿宋"/>
          <w:color w:val="auto"/>
          <w:sz w:val="32"/>
          <w:szCs w:val="32"/>
        </w:rPr>
      </w:pPr>
    </w:p>
    <w:p>
      <w:pPr>
        <w:pStyle w:val="27"/>
        <w:spacing w:line="240" w:lineRule="auto"/>
        <w:ind w:firstLine="0"/>
        <w:rPr>
          <w:rFonts w:hint="eastAsia" w:ascii="仿宋" w:hAnsi="仿宋" w:eastAsia="仿宋" w:cs="仿宋"/>
          <w:color w:val="auto"/>
          <w:sz w:val="32"/>
          <w:szCs w:val="32"/>
        </w:rPr>
      </w:pPr>
    </w:p>
    <w:p>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3</w:t>
      </w:r>
      <w:r>
        <w:rPr>
          <w:rFonts w:hint="eastAsia" w:ascii="仿宋" w:hAnsi="仿宋" w:eastAsia="仿宋" w:cs="仿宋"/>
          <w:color w:val="auto"/>
          <w:kern w:val="2"/>
          <w:sz w:val="32"/>
          <w:szCs w:val="32"/>
        </w:rPr>
        <w:t>年  月  日</w:t>
      </w:r>
      <w:bookmarkEnd w:id="15"/>
    </w:p>
    <w:p>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pPr>
        <w:pStyle w:val="2"/>
        <w:rPr>
          <w:rFonts w:hint="eastAsia" w:ascii="黑体" w:hAnsi="黑体" w:eastAsia="黑体" w:cs="黑体"/>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采购数量：</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医生：26套夏装+26套春秋装</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护士：30套夏装+30套春秋装</w:t>
      </w:r>
    </w:p>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辅助人员：40套夏装+40套春秋装</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一、夏装：</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样式上衣样式及实物样品。</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宋体" w:hAnsi="宋体" w:cs="宋体"/>
          <w:sz w:val="24"/>
        </w:rPr>
        <w:drawing>
          <wp:anchor distT="0" distB="0" distL="114300" distR="114300" simplePos="0" relativeHeight="251663360" behindDoc="0" locked="0" layoutInCell="1" allowOverlap="1">
            <wp:simplePos x="0" y="0"/>
            <wp:positionH relativeFrom="column">
              <wp:posOffset>460375</wp:posOffset>
            </wp:positionH>
            <wp:positionV relativeFrom="paragraph">
              <wp:posOffset>144780</wp:posOffset>
            </wp:positionV>
            <wp:extent cx="3262630" cy="2086610"/>
            <wp:effectExtent l="0" t="0" r="13970" b="1270"/>
            <wp:wrapNone/>
            <wp:docPr id="5" name="图片 17" descr="C:\Users\Administrator\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descr="C:\Users\Administrator\Desktop\图片1.jpg图片1"/>
                    <pic:cNvPicPr>
                      <a:picLocks noChangeAspect="1"/>
                    </pic:cNvPicPr>
                  </pic:nvPicPr>
                  <pic:blipFill>
                    <a:blip r:embed="rId8"/>
                    <a:stretch>
                      <a:fillRect/>
                    </a:stretch>
                  </pic:blipFill>
                  <pic:spPr>
                    <a:xfrm>
                      <a:off x="0" y="0"/>
                      <a:ext cx="3262630" cy="2086610"/>
                    </a:xfrm>
                    <a:prstGeom prst="rect">
                      <a:avLst/>
                    </a:prstGeom>
                    <a:noFill/>
                    <a:ln>
                      <a:noFill/>
                    </a:ln>
                  </pic:spPr>
                </pic:pic>
              </a:graphicData>
            </a:graphic>
          </wp:anchor>
        </w:drawing>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after="0"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2.裤子样式按图2及实物样品。</w:t>
      </w:r>
    </w:p>
    <w:p>
      <w:pPr>
        <w:pStyle w:val="16"/>
        <w:numPr>
          <w:ilvl w:val="0"/>
          <w:numId w:val="0"/>
        </w:numPr>
        <w:spacing w:line="240" w:lineRule="auto"/>
        <w:rPr>
          <w:rFonts w:hint="eastAsia" w:ascii="仿宋" w:hAnsi="仿宋" w:eastAsia="仿宋" w:cs="仿宋"/>
          <w:sz w:val="32"/>
          <w:szCs w:val="32"/>
          <w:lang w:val="en-US" w:eastAsia="zh-CN"/>
        </w:rPr>
      </w:pPr>
      <w:r>
        <w:rPr>
          <w:rFonts w:ascii="宋体" w:hAnsi="宋体" w:cs="宋体"/>
        </w:rPr>
        <w:drawing>
          <wp:anchor distT="0" distB="0" distL="114300" distR="114300" simplePos="0" relativeHeight="251664384" behindDoc="0" locked="0" layoutInCell="1" allowOverlap="1">
            <wp:simplePos x="0" y="0"/>
            <wp:positionH relativeFrom="column">
              <wp:posOffset>732155</wp:posOffset>
            </wp:positionH>
            <wp:positionV relativeFrom="paragraph">
              <wp:posOffset>249555</wp:posOffset>
            </wp:positionV>
            <wp:extent cx="3039745" cy="2338070"/>
            <wp:effectExtent l="0" t="0" r="8255" b="8890"/>
            <wp:wrapNone/>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8"/>
                    <pic:cNvPicPr>
                      <a:picLocks noChangeAspect="1"/>
                    </pic:cNvPicPr>
                  </pic:nvPicPr>
                  <pic:blipFill>
                    <a:blip r:embed="rId9"/>
                    <a:stretch>
                      <a:fillRect/>
                    </a:stretch>
                  </pic:blipFill>
                  <pic:spPr>
                    <a:xfrm>
                      <a:off x="0" y="0"/>
                      <a:ext cx="3039745" cy="2338070"/>
                    </a:xfrm>
                    <a:prstGeom prst="rect">
                      <a:avLst/>
                    </a:prstGeom>
                    <a:noFill/>
                    <a:ln>
                      <a:noFill/>
                    </a:ln>
                  </pic:spPr>
                </pic:pic>
              </a:graphicData>
            </a:graphic>
          </wp:anchor>
        </w:drawing>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颜色：上衣面料色号：PANTONE11_0602TPX</w:t>
      </w:r>
    </w:p>
    <w:p>
      <w:pPr>
        <w:pStyle w:val="16"/>
        <w:numPr>
          <w:ilvl w:val="0"/>
          <w:numId w:val="0"/>
        </w:numPr>
        <w:spacing w:line="240" w:lineRule="auto"/>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下裤面料色号：PANTONE19_4035TPX</w:t>
      </w:r>
    </w:p>
    <w:p>
      <w:pPr>
        <w:pStyle w:val="16"/>
        <w:numPr>
          <w:ilvl w:val="0"/>
          <w:numId w:val="0"/>
        </w:numPr>
        <w:spacing w:line="240" w:lineRule="auto"/>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袋布及其它辅料颜色：与实物样品相一致。</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材料：面料材质名称：吸湿排汗面料</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原料:吸湿排汗纤维 * JT/C</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成分：T：C   80:20</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纱支：33S吸湿排汗纤维×22S</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密度：110*65</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耐氯漂等级：3级以上</w:t>
      </w:r>
    </w:p>
    <w:p>
      <w:pPr>
        <w:pStyle w:val="16"/>
        <w:numPr>
          <w:ilvl w:val="0"/>
          <w:numId w:val="0"/>
        </w:numPr>
        <w:spacing w:line="240" w:lineRule="auto"/>
        <w:rPr>
          <w:rFonts w:ascii="宋体" w:hAnsi="宋体" w:cs="宋体"/>
          <w:b/>
          <w:sz w:val="24"/>
        </w:rPr>
      </w:pPr>
      <w:r>
        <w:rPr>
          <w:rFonts w:hint="eastAsia" w:ascii="仿宋" w:hAnsi="仿宋" w:eastAsia="仿宋" w:cs="仿宋"/>
          <w:sz w:val="32"/>
          <w:szCs w:val="32"/>
          <w:lang w:val="en-US" w:eastAsia="zh-CN"/>
        </w:rPr>
        <w:t>材质特点：吸湿快干、透气、抗皱、易洗、不起球、耐磨、环保、舒适、耐氯漂。</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二、春秋装：</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1.样式上衣样式按及实物样品。</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59264" behindDoc="0" locked="0" layoutInCell="1" allowOverlap="1">
            <wp:simplePos x="0" y="0"/>
            <wp:positionH relativeFrom="column">
              <wp:posOffset>787400</wp:posOffset>
            </wp:positionH>
            <wp:positionV relativeFrom="paragraph">
              <wp:posOffset>106045</wp:posOffset>
            </wp:positionV>
            <wp:extent cx="3200400" cy="1877695"/>
            <wp:effectExtent l="0" t="0" r="0" b="12065"/>
            <wp:wrapSquare wrapText="bothSides"/>
            <wp:docPr id="3" name="图片 19" descr="C:\Users\Administrator\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descr="C:\Users\Administrator\Desktop\图片1.jpg图片1"/>
                    <pic:cNvPicPr>
                      <a:picLocks noChangeAspect="1"/>
                    </pic:cNvPicPr>
                  </pic:nvPicPr>
                  <pic:blipFill>
                    <a:blip r:embed="rId10"/>
                    <a:stretch>
                      <a:fillRect/>
                    </a:stretch>
                  </pic:blipFill>
                  <pic:spPr>
                    <a:xfrm>
                      <a:off x="0" y="0"/>
                      <a:ext cx="3200400" cy="1877695"/>
                    </a:xfrm>
                    <a:prstGeom prst="rect">
                      <a:avLst/>
                    </a:prstGeom>
                    <a:noFill/>
                    <a:ln>
                      <a:noFill/>
                    </a:ln>
                  </pic:spPr>
                </pic:pic>
              </a:graphicData>
            </a:graphic>
          </wp:anchor>
        </w:drawing>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ascii="宋体" w:hAnsi="宋体" w:cs="宋体"/>
        </w:rPr>
        <w:drawing>
          <wp:anchor distT="0" distB="0" distL="114300" distR="114300" simplePos="0" relativeHeight="251662336" behindDoc="0" locked="0" layoutInCell="1" allowOverlap="1">
            <wp:simplePos x="0" y="0"/>
            <wp:positionH relativeFrom="column">
              <wp:posOffset>878205</wp:posOffset>
            </wp:positionH>
            <wp:positionV relativeFrom="paragraph">
              <wp:posOffset>339090</wp:posOffset>
            </wp:positionV>
            <wp:extent cx="3015615" cy="1914525"/>
            <wp:effectExtent l="0" t="0" r="1905" b="5715"/>
            <wp:wrapNone/>
            <wp:docPr id="4"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0"/>
                    <pic:cNvPicPr>
                      <a:picLocks noChangeAspect="1"/>
                    </pic:cNvPicPr>
                  </pic:nvPicPr>
                  <pic:blipFill>
                    <a:blip r:embed="rId9"/>
                    <a:stretch>
                      <a:fillRect/>
                    </a:stretch>
                  </pic:blipFill>
                  <pic:spPr>
                    <a:xfrm>
                      <a:off x="0" y="0"/>
                      <a:ext cx="3015615" cy="1914525"/>
                    </a:xfrm>
                    <a:prstGeom prst="rect">
                      <a:avLst/>
                    </a:prstGeom>
                    <a:noFill/>
                    <a:ln>
                      <a:noFill/>
                    </a:ln>
                  </pic:spPr>
                </pic:pic>
              </a:graphicData>
            </a:graphic>
          </wp:anchor>
        </w:drawing>
      </w:r>
      <w:r>
        <w:rPr>
          <w:rFonts w:hint="eastAsia" w:ascii="仿宋" w:hAnsi="仿宋" w:eastAsia="仿宋" w:cs="仿宋"/>
          <w:sz w:val="32"/>
          <w:szCs w:val="32"/>
          <w:lang w:val="en-US" w:eastAsia="zh-CN"/>
        </w:rPr>
        <w:t>2.裤子样式按及实物样品。</w:t>
      </w:r>
    </w:p>
    <w:p>
      <w:pPr>
        <w:widowControl w:val="0"/>
        <w:numPr>
          <w:ilvl w:val="0"/>
          <w:numId w:val="0"/>
        </w:numPr>
        <w:jc w:val="both"/>
        <w:rPr>
          <w:rFonts w:hint="default"/>
          <w:lang w:val="en-US" w:eastAsia="zh-CN"/>
        </w:rPr>
      </w:pPr>
    </w:p>
    <w:p>
      <w:pPr>
        <w:pStyle w:val="2"/>
        <w:rPr>
          <w:rFonts w:hint="default"/>
          <w:lang w:val="en-US" w:eastAsia="zh-CN"/>
        </w:rPr>
      </w:pPr>
    </w:p>
    <w:p>
      <w:pPr>
        <w:pStyle w:val="3"/>
        <w:rPr>
          <w:rFonts w:hint="default"/>
          <w:lang w:val="en-US" w:eastAsia="zh-CN"/>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2"/>
        <w:numPr>
          <w:ilvl w:val="0"/>
          <w:numId w:val="0"/>
        </w:numPr>
        <w:rPr>
          <w:rFonts w:hint="default"/>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颜色：上衣面料色号：PANTONE11_0602TPX </w:t>
      </w:r>
    </w:p>
    <w:p>
      <w:pPr>
        <w:pStyle w:val="16"/>
        <w:numPr>
          <w:ilvl w:val="0"/>
          <w:numId w:val="0"/>
        </w:numPr>
        <w:spacing w:line="240" w:lineRule="auto"/>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下裤面料色号：PANTONE19_4035TPX</w:t>
      </w:r>
    </w:p>
    <w:p>
      <w:pPr>
        <w:pStyle w:val="16"/>
        <w:numPr>
          <w:ilvl w:val="0"/>
          <w:numId w:val="0"/>
        </w:numPr>
        <w:spacing w:line="240" w:lineRule="auto"/>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袋布及其它辅料颜色：与实物样品相一致。</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材料：面料材质名称：精密纺涤卡面料</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原料:新型聚酯纤维+纺棉纤维 * JT/C</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成分：T：P:C   65:15：20</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纱支：26S仿棉纤维×22S</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密度：153*71</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耐氯漂等级：3级以上</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材质特点：抗静电、抗皱、防透遮光、不起球起毛、环保、舒适、结构紧密、</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耐磨、耐氯漂。</w:t>
      </w: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三、标志标识类</w:t>
      </w:r>
    </w:p>
    <w:p>
      <w:pPr>
        <w:pStyle w:val="16"/>
        <w:numPr>
          <w:ilvl w:val="0"/>
          <w:numId w:val="0"/>
        </w:numPr>
        <w:spacing w:line="240" w:lineRule="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1.臂章</w:t>
      </w:r>
    </w:p>
    <w:p>
      <w:pPr>
        <w:pStyle w:val="16"/>
        <w:numPr>
          <w:ilvl w:val="0"/>
          <w:numId w:val="0"/>
        </w:numPr>
        <w:spacing w:line="240" w:lineRule="auto"/>
      </w:pPr>
      <w:r>
        <w:drawing>
          <wp:inline distT="0" distB="0" distL="114300" distR="114300">
            <wp:extent cx="5137785" cy="2043430"/>
            <wp:effectExtent l="0" t="0" r="13335" b="1397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5137785" cy="2043430"/>
                    </a:xfrm>
                    <a:prstGeom prst="rect">
                      <a:avLst/>
                    </a:prstGeom>
                    <a:noFill/>
                    <a:ln>
                      <a:noFill/>
                    </a:ln>
                  </pic:spPr>
                </pic:pic>
              </a:graphicData>
            </a:graphic>
          </wp:inline>
        </w:drawing>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臂章佩戴于左臂，可拆卸，三条黄色带用于识别专业身份</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规格尺寸：宽9cm，高8.5cm</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材质：织唛</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样式要求:生命之星标志。“蛇杖”、“四川急救”中英文白色，麦絮图案蓝色，金色盾形外边框，黄蓝白三色。</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5408" behindDoc="0" locked="0" layoutInCell="1" allowOverlap="1">
            <wp:simplePos x="0" y="0"/>
            <wp:positionH relativeFrom="column">
              <wp:posOffset>4239260</wp:posOffset>
            </wp:positionH>
            <wp:positionV relativeFrom="paragraph">
              <wp:posOffset>226695</wp:posOffset>
            </wp:positionV>
            <wp:extent cx="1663700" cy="972820"/>
            <wp:effectExtent l="0" t="0" r="12700" b="2540"/>
            <wp:wrapNone/>
            <wp:docPr id="20" name="图片 33" descr="C:\Users\Administrator\Desktop\图片1.jp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3" descr="C:\Users\Administrator\Desktop\图片1.jpg图片1"/>
                    <pic:cNvPicPr>
                      <a:picLocks noChangeAspect="1"/>
                    </pic:cNvPicPr>
                  </pic:nvPicPr>
                  <pic:blipFill>
                    <a:blip r:embed="rId12"/>
                    <a:stretch>
                      <a:fillRect/>
                    </a:stretch>
                  </pic:blipFill>
                  <pic:spPr>
                    <a:xfrm>
                      <a:off x="0" y="0"/>
                      <a:ext cx="1663700" cy="972820"/>
                    </a:xfrm>
                    <a:prstGeom prst="rect">
                      <a:avLst/>
                    </a:prstGeom>
                    <a:noFill/>
                    <a:ln>
                      <a:noFill/>
                    </a:ln>
                  </pic:spPr>
                </pic:pic>
              </a:graphicData>
            </a:graphic>
          </wp:anchor>
        </w:drawing>
      </w:r>
      <w:r>
        <w:rPr>
          <w:rFonts w:hint="eastAsia" w:ascii="仿宋" w:hAnsi="仿宋" w:eastAsia="仿宋" w:cs="仿宋"/>
          <w:sz w:val="32"/>
          <w:szCs w:val="32"/>
          <w:lang w:val="en-US" w:eastAsia="zh-CN"/>
        </w:rPr>
        <w:t xml:space="preserve">2.胸章  </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胸章装订于服装左胸，用于识别市州区域，以</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简化“生命之星”徽记，和市或州两字名标志，</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规格尺寸：长9cm，高5.5cm</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要求：急救蓝底色配白色刺绣字体</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anchor distT="0" distB="0" distL="114300" distR="114300" simplePos="0" relativeHeight="251666432" behindDoc="0" locked="0" layoutInCell="1" allowOverlap="1">
            <wp:simplePos x="0" y="0"/>
            <wp:positionH relativeFrom="column">
              <wp:posOffset>4262120</wp:posOffset>
            </wp:positionH>
            <wp:positionV relativeFrom="paragraph">
              <wp:posOffset>267335</wp:posOffset>
            </wp:positionV>
            <wp:extent cx="1638300" cy="1038225"/>
            <wp:effectExtent l="0" t="0" r="7620" b="13335"/>
            <wp:wrapSquare wrapText="bothSides"/>
            <wp:docPr id="29" name="图片 9" descr="6OJ]C@_)$ZH8C~[BS2Z$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descr="6OJ]C@_)$ZH8C~[BS2Z$B}1"/>
                    <pic:cNvPicPr>
                      <a:picLocks noChangeAspect="1"/>
                    </pic:cNvPicPr>
                  </pic:nvPicPr>
                  <pic:blipFill>
                    <a:blip r:embed="rId13"/>
                    <a:stretch>
                      <a:fillRect/>
                    </a:stretch>
                  </pic:blipFill>
                  <pic:spPr>
                    <a:xfrm>
                      <a:off x="0" y="0"/>
                      <a:ext cx="1638300" cy="1038225"/>
                    </a:xfrm>
                    <a:prstGeom prst="rect">
                      <a:avLst/>
                    </a:prstGeom>
                    <a:noFill/>
                    <a:ln>
                      <a:noFill/>
                    </a:ln>
                  </pic:spPr>
                </pic:pic>
              </a:graphicData>
            </a:graphic>
          </wp:anchor>
        </w:drawing>
      </w:r>
      <w:r>
        <w:rPr>
          <w:rFonts w:hint="eastAsia" w:ascii="仿宋" w:hAnsi="仿宋" w:eastAsia="仿宋" w:cs="仿宋"/>
          <w:sz w:val="32"/>
          <w:szCs w:val="32"/>
          <w:lang w:val="en-US" w:eastAsia="zh-CN"/>
        </w:rPr>
        <w:t>3.背标</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背标为急救蓝色字、急救蓝色标识，用于识</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别市州区域，以简化“生命之星”徽记，和</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市或州两字名标志，攀枝花市以三字名标志</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规格尺寸：高18cm，长26</w:t>
      </w:r>
    </w:p>
    <w:p>
      <w:pPr>
        <w:pStyle w:val="16"/>
        <w:numPr>
          <w:ilvl w:val="0"/>
          <w:numId w:val="0"/>
        </w:numPr>
        <w:spacing w:line="24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要求:桔黄色底色配银色反光字</w:t>
      </w:r>
    </w:p>
    <w:p>
      <w:pPr>
        <w:pStyle w:val="16"/>
        <w:numPr>
          <w:ilvl w:val="0"/>
          <w:numId w:val="0"/>
        </w:numPr>
        <w:spacing w:line="240" w:lineRule="auto"/>
        <w:rPr>
          <w:rFonts w:hint="eastAsia" w:eastAsia="宋体"/>
          <w:lang w:val="en-US" w:eastAsia="zh-CN"/>
        </w:rPr>
      </w:pPr>
    </w:p>
    <w:p>
      <w:pPr>
        <w:pStyle w:val="16"/>
        <w:numPr>
          <w:ilvl w:val="0"/>
          <w:numId w:val="0"/>
        </w:numPr>
        <w:spacing w:line="240" w:lineRule="auto"/>
        <w:rPr>
          <w:rFonts w:hint="eastAsia"/>
          <w:lang w:val="en-US" w:eastAsia="zh-CN"/>
        </w:rPr>
      </w:pPr>
    </w:p>
    <w:p>
      <w:pPr>
        <w:pStyle w:val="16"/>
        <w:numPr>
          <w:ilvl w:val="0"/>
          <w:numId w:val="0"/>
        </w:numPr>
        <w:spacing w:line="240" w:lineRule="auto"/>
        <w:rPr>
          <w:rFonts w:hint="eastAsia" w:ascii="仿宋" w:hAnsi="仿宋" w:eastAsia="仿宋" w:cs="仿宋"/>
          <w:sz w:val="32"/>
          <w:szCs w:val="32"/>
          <w:lang w:val="en-US" w:eastAsia="zh-CN"/>
        </w:rPr>
      </w:pPr>
    </w:p>
    <w:p>
      <w:pPr>
        <w:pStyle w:val="16"/>
        <w:numPr>
          <w:ilvl w:val="0"/>
          <w:numId w:val="0"/>
        </w:num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以上供应商在提供标书时候同时提供医生样品一套，样品评审后，对评分第一名投标人的样品进行封存，其他投标人的样品将退回（如不方便现场领取，采购人将按照供应商提供的地址寄回，邮费到付）</w:t>
      </w:r>
    </w:p>
    <w:p>
      <w:pPr>
        <w:pStyle w:val="16"/>
        <w:numPr>
          <w:ilvl w:val="0"/>
          <w:numId w:val="0"/>
        </w:numPr>
        <w:spacing w:line="240" w:lineRule="auto"/>
        <w:ind w:leftChars="0"/>
        <w:rPr>
          <w:rFonts w:hint="eastAsia" w:ascii="仿宋" w:hAnsi="仿宋" w:eastAsia="仿宋" w:cs="仿宋"/>
          <w:sz w:val="32"/>
          <w:szCs w:val="32"/>
          <w:lang w:val="en-US" w:eastAsia="zh-CN"/>
        </w:rPr>
      </w:pPr>
    </w:p>
    <w:p>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响应时间：合同签订后5天内进行量体或根据甲方提供的型号制作后30天内交货。</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服务要求：上门量身定制，因颜色可能存在色差，具体以成交供应商的色号为准、款式可适当调整</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付款方式：验收合格后，采购人在收到供应商提供的正规完税发票后90个工作日内结算款项。</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质量要求：成交供应商须提供全新的货物（含配件等），表面无破损,货物必须符合或优于国家（行业）标准。</w:t>
      </w:r>
    </w:p>
    <w:p>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要求：若收货后发现货物尺寸和型号不相符，需重做或修改的，成交供应商应在10日内无条件重做或修改，货物质量出现问题（如缝合不当、脱线，领口袖口和布料起泡、内衬非人为损坏等），成交供应商应负责三包（包修、包换、包退），质保期为6个月，费用（包含但不限于上门、差旅）由成交供应商承担</w:t>
      </w:r>
    </w:p>
    <w:p>
      <w:pPr>
        <w:rPr>
          <w:rFonts w:hint="eastAsia" w:ascii="黑体" w:hAnsi="黑体" w:eastAsia="黑体" w:cs="黑体"/>
          <w:lang w:eastAsia="zh-CN"/>
        </w:rPr>
      </w:pPr>
    </w:p>
    <w:p>
      <w:pPr>
        <w:pStyle w:val="5"/>
        <w:rPr>
          <w:rFonts w:hint="eastAsia" w:ascii="黑体" w:hAnsi="黑体" w:eastAsia="黑体" w:cs="黑体"/>
          <w:lang w:eastAsia="zh-CN"/>
        </w:rPr>
      </w:pPr>
    </w:p>
    <w:p>
      <w:pPr>
        <w:rPr>
          <w:rFonts w:hint="eastAsia" w:ascii="黑体" w:hAnsi="黑体" w:eastAsia="黑体" w:cs="黑体"/>
          <w:lang w:eastAsia="zh-CN"/>
        </w:rPr>
      </w:pPr>
      <w:r>
        <w:rPr>
          <w:rFonts w:hint="eastAsia" w:ascii="黑体" w:hAnsi="黑体" w:eastAsia="黑体" w:cs="黑体"/>
          <w:lang w:eastAsia="zh-CN"/>
        </w:rPr>
        <w:br w:type="page"/>
      </w:r>
    </w:p>
    <w:p>
      <w:pPr>
        <w:pStyle w:val="16"/>
        <w:rPr>
          <w:rFonts w:hint="eastAsia" w:ascii="黑体" w:hAnsi="黑体" w:eastAsia="黑体" w:cs="黑体"/>
          <w:lang w:eastAsia="zh-CN"/>
        </w:rPr>
      </w:pPr>
    </w:p>
    <w:p>
      <w:pPr>
        <w:pStyle w:val="2"/>
        <w:rPr>
          <w:rFonts w:hint="eastAsia" w:ascii="黑体" w:hAnsi="黑体" w:eastAsia="黑体" w:cs="黑体"/>
          <w:lang w:eastAsia="zh-CN"/>
        </w:rPr>
      </w:pPr>
      <w:r>
        <w:rPr>
          <w:rFonts w:hint="eastAsia" w:ascii="黑体" w:hAnsi="黑体" w:eastAsia="黑体" w:cs="黑体"/>
          <w:sz w:val="32"/>
          <w:szCs w:val="40"/>
          <w:lang w:eastAsia="zh-CN"/>
        </w:rPr>
        <w:t>评分标准</w:t>
      </w:r>
      <w:r>
        <w:rPr>
          <w:rFonts w:hint="eastAsia" w:ascii="黑体" w:hAnsi="黑体" w:eastAsia="黑体" w:cs="黑体"/>
          <w:lang w:eastAsia="zh-CN"/>
        </w:rPr>
        <w:t>：</w:t>
      </w:r>
    </w:p>
    <w:tbl>
      <w:tblPr>
        <w:tblStyle w:val="17"/>
        <w:tblW w:w="9958" w:type="dxa"/>
        <w:jc w:val="center"/>
        <w:tblLayout w:type="fixed"/>
        <w:tblCellMar>
          <w:top w:w="0" w:type="dxa"/>
          <w:left w:w="108" w:type="dxa"/>
          <w:bottom w:w="0" w:type="dxa"/>
          <w:right w:w="108" w:type="dxa"/>
        </w:tblCellMar>
      </w:tblPr>
      <w:tblGrid>
        <w:gridCol w:w="579"/>
        <w:gridCol w:w="1023"/>
        <w:gridCol w:w="860"/>
        <w:gridCol w:w="6510"/>
        <w:gridCol w:w="986"/>
      </w:tblGrid>
      <w:tr>
        <w:tblPrEx>
          <w:tblCellMar>
            <w:top w:w="0" w:type="dxa"/>
            <w:left w:w="108" w:type="dxa"/>
            <w:bottom w:w="0" w:type="dxa"/>
            <w:right w:w="108" w:type="dxa"/>
          </w:tblCellMar>
        </w:tblPrEx>
        <w:trPr>
          <w:cantSplit/>
          <w:trHeight w:val="821"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序号</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评分因素</w:t>
            </w:r>
          </w:p>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及权重</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分值</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评分标准</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widowControl/>
              <w:spacing w:line="320" w:lineRule="atLeast"/>
              <w:jc w:val="center"/>
              <w:rPr>
                <w:rFonts w:hint="eastAsia" w:ascii="仿宋" w:hAnsi="仿宋" w:eastAsia="仿宋" w:cs="仿宋"/>
                <w:b/>
                <w:kern w:val="1"/>
                <w:sz w:val="32"/>
                <w:szCs w:val="32"/>
              </w:rPr>
            </w:pPr>
            <w:r>
              <w:rPr>
                <w:rFonts w:hint="eastAsia" w:ascii="仿宋" w:hAnsi="仿宋" w:eastAsia="仿宋" w:cs="仿宋"/>
                <w:b/>
                <w:kern w:val="1"/>
                <w:sz w:val="32"/>
                <w:szCs w:val="32"/>
              </w:rPr>
              <w:t>说 明</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1</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报价</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40</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满足招标文件要求且投标价格最低的投标报价为评标基准价，其价格分为满分。其他供应商的价格分统一按照下列公式计算：投标报价得分=(评标基准价÷投标报价)×45%×100；（最低价基准法）</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共同评审因素</w:t>
            </w:r>
          </w:p>
        </w:tc>
      </w:tr>
      <w:tr>
        <w:tblPrEx>
          <w:tblCellMar>
            <w:top w:w="0" w:type="dxa"/>
            <w:left w:w="108" w:type="dxa"/>
            <w:bottom w:w="0" w:type="dxa"/>
            <w:right w:w="108" w:type="dxa"/>
          </w:tblCellMar>
        </w:tblPrEx>
        <w:trPr>
          <w:trHeight w:val="122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2</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lang w:eastAsia="zh-CN"/>
              </w:rPr>
              <w:t>技术要求</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both"/>
              <w:rPr>
                <w:rFonts w:hint="default"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21</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kern w:val="1"/>
                <w:sz w:val="32"/>
                <w:szCs w:val="32"/>
                <w:lang w:val="en-US" w:eastAsia="zh-CN"/>
              </w:rPr>
              <w:t>根据供应商对技术，完全响应文件要求没有负偏离的得满分，有一项负偏离的扣2分，扣完为止</w:t>
            </w:r>
            <w:r>
              <w:rPr>
                <w:rFonts w:hint="eastAsia" w:ascii="仿宋" w:hAnsi="仿宋" w:eastAsia="仿宋" w:cs="仿宋"/>
                <w:kern w:val="1"/>
                <w:sz w:val="32"/>
                <w:szCs w:val="32"/>
              </w:rPr>
              <w:t>。</w:t>
            </w: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735"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rPr>
            </w:pPr>
            <w:r>
              <w:rPr>
                <w:rFonts w:hint="eastAsia" w:ascii="仿宋" w:hAnsi="仿宋" w:eastAsia="仿宋" w:cs="仿宋"/>
                <w:kern w:val="1"/>
                <w:sz w:val="32"/>
                <w:szCs w:val="32"/>
              </w:rPr>
              <w:t>3</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p>
          <w:p>
            <w:pPr>
              <w:spacing w:line="320" w:lineRule="atLeas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样品质量</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仿宋" w:hAnsi="仿宋" w:eastAsia="仿宋" w:cs="仿宋"/>
                <w:sz w:val="32"/>
                <w:szCs w:val="32"/>
                <w:lang w:val="en-US" w:eastAsia="zh-CN"/>
              </w:rPr>
            </w:pPr>
            <w:r>
              <w:rPr>
                <w:rFonts w:hint="eastAsia" w:ascii="仿宋" w:hAnsi="仿宋" w:eastAsia="仿宋" w:cs="仿宋"/>
                <w:kern w:val="1"/>
                <w:sz w:val="32"/>
                <w:szCs w:val="32"/>
                <w:lang w:val="en-US" w:eastAsia="zh-CN"/>
              </w:rPr>
              <w:t>24</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对供应商提供的样品根据以下标准进行评审：1.样品缝合走线平整、2.整体外观制作美观、3.工艺制作精良、4.手感柔软舒适、5.对条对格对称性好、6.缝迹流畅平服无折皱，完全满足要求得满分24分，有一项不满足要求扣 </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4分，未按照文件要求提供样品此项不得分。</w:t>
            </w:r>
          </w:p>
          <w:p>
            <w:pPr>
              <w:rPr>
                <w:rFonts w:hint="default" w:ascii="仿宋" w:hAnsi="仿宋" w:eastAsia="仿宋" w:cs="仿宋"/>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r>
        <w:tblPrEx>
          <w:tblCellMar>
            <w:top w:w="0" w:type="dxa"/>
            <w:left w:w="108" w:type="dxa"/>
            <w:bottom w:w="0" w:type="dxa"/>
            <w:right w:w="108" w:type="dxa"/>
          </w:tblCellMar>
        </w:tblPrEx>
        <w:trPr>
          <w:trHeight w:val="1066" w:hRule="atLeast"/>
          <w:jc w:val="center"/>
        </w:trPr>
        <w:tc>
          <w:tcPr>
            <w:tcW w:w="579"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4</w:t>
            </w:r>
          </w:p>
        </w:tc>
        <w:tc>
          <w:tcPr>
            <w:tcW w:w="1023"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售后方案</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kern w:val="1"/>
                <w:sz w:val="32"/>
                <w:szCs w:val="32"/>
                <w:lang w:val="en-US" w:eastAsia="zh-CN"/>
              </w:rPr>
            </w:pPr>
            <w:r>
              <w:rPr>
                <w:rFonts w:hint="eastAsia" w:ascii="仿宋" w:hAnsi="仿宋" w:eastAsia="仿宋" w:cs="仿宋"/>
                <w:kern w:val="1"/>
                <w:sz w:val="32"/>
                <w:szCs w:val="32"/>
                <w:lang w:val="en-US" w:eastAsia="zh-CN"/>
              </w:rPr>
              <w:t>15</w:t>
            </w:r>
          </w:p>
        </w:tc>
        <w:tc>
          <w:tcPr>
            <w:tcW w:w="65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服务方案进行综合评审：项目实施及售后服务方案包括但不限于①供货计划以投标文件为准。（包含但不限于产品出入库管理、配送流程）、②产品质量保证措施、③退、换货处理方案、④售后服务人员配备及职责分工、⑤售后服务范围及售后服务保障措施。</w:t>
            </w:r>
          </w:p>
          <w:p>
            <w:pPr>
              <w:rPr>
                <w:rFonts w:hint="eastAsia" w:ascii="仿宋" w:hAnsi="仿宋" w:eastAsia="仿宋" w:cs="仿宋"/>
                <w:kern w:val="1"/>
                <w:sz w:val="32"/>
                <w:szCs w:val="32"/>
                <w:lang w:val="en-US" w:eastAsia="zh-CN"/>
              </w:rPr>
            </w:pPr>
          </w:p>
        </w:tc>
        <w:tc>
          <w:tcPr>
            <w:tcW w:w="986" w:type="dxa"/>
            <w:tcBorders>
              <w:top w:val="single" w:color="000000" w:sz="4" w:space="0"/>
              <w:left w:val="single" w:color="000000" w:sz="4" w:space="0"/>
              <w:bottom w:val="single" w:color="000000" w:sz="4" w:space="0"/>
              <w:right w:val="single" w:color="000000" w:sz="4" w:space="0"/>
            </w:tcBorders>
            <w:noWrap/>
            <w:vAlign w:val="center"/>
          </w:tcPr>
          <w:p>
            <w:pPr>
              <w:spacing w:line="320" w:lineRule="atLeast"/>
              <w:jc w:val="center"/>
              <w:rPr>
                <w:rFonts w:hint="eastAsia" w:ascii="仿宋" w:hAnsi="仿宋" w:eastAsia="仿宋" w:cs="仿宋"/>
                <w:sz w:val="32"/>
                <w:szCs w:val="32"/>
              </w:rPr>
            </w:pPr>
            <w:r>
              <w:rPr>
                <w:rFonts w:hint="eastAsia" w:ascii="仿宋" w:hAnsi="仿宋" w:eastAsia="仿宋" w:cs="仿宋"/>
                <w:sz w:val="32"/>
                <w:szCs w:val="32"/>
              </w:rPr>
              <w:t>技术类评审因素</w:t>
            </w:r>
          </w:p>
        </w:tc>
      </w:tr>
    </w:tbl>
    <w:p>
      <w:pPr>
        <w:rPr>
          <w:rFonts w:hint="eastAsia" w:ascii="黑体" w:hAnsi="黑体" w:eastAsia="黑体" w:cs="黑体"/>
          <w:lang w:eastAsia="zh-CN"/>
        </w:rPr>
      </w:pPr>
    </w:p>
    <w:sectPr>
      <w:headerReference r:id="rId4" w:type="first"/>
      <w:footerReference r:id="rId6" w:type="first"/>
      <w:headerReference r:id="rId3" w:type="default"/>
      <w:footerReference r:id="rId5" w:type="default"/>
      <w:pgSz w:w="11906" w:h="16838"/>
      <w:pgMar w:top="1304" w:right="1077" w:bottom="1361" w:left="1191"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2U4MTA3ZjQ5OWQzMzI2NDAzYmIzZWNmOTExZWQifQ=="/>
  </w:docVars>
  <w:rsids>
    <w:rsidRoot w:val="20B86F62"/>
    <w:rsid w:val="00FE51BA"/>
    <w:rsid w:val="01724615"/>
    <w:rsid w:val="01AC44D5"/>
    <w:rsid w:val="01DA1F83"/>
    <w:rsid w:val="02653FAC"/>
    <w:rsid w:val="038264FB"/>
    <w:rsid w:val="03E45948"/>
    <w:rsid w:val="03EB6F22"/>
    <w:rsid w:val="047A7398"/>
    <w:rsid w:val="04976AF6"/>
    <w:rsid w:val="05B93485"/>
    <w:rsid w:val="05DD44EC"/>
    <w:rsid w:val="06C83EF1"/>
    <w:rsid w:val="07954271"/>
    <w:rsid w:val="07E32607"/>
    <w:rsid w:val="083F7233"/>
    <w:rsid w:val="08570094"/>
    <w:rsid w:val="0892424A"/>
    <w:rsid w:val="08A100E8"/>
    <w:rsid w:val="08D706EB"/>
    <w:rsid w:val="09281C73"/>
    <w:rsid w:val="0A5766D2"/>
    <w:rsid w:val="0AD77C5F"/>
    <w:rsid w:val="0B5B6EA7"/>
    <w:rsid w:val="0B9B184D"/>
    <w:rsid w:val="0BBF2600"/>
    <w:rsid w:val="0DA12370"/>
    <w:rsid w:val="0DBF0EC4"/>
    <w:rsid w:val="0DE40DBE"/>
    <w:rsid w:val="0E672DB3"/>
    <w:rsid w:val="0E687B53"/>
    <w:rsid w:val="0E904937"/>
    <w:rsid w:val="0E95365D"/>
    <w:rsid w:val="0E9E1831"/>
    <w:rsid w:val="0EAB0093"/>
    <w:rsid w:val="0F225786"/>
    <w:rsid w:val="0FCE2C6B"/>
    <w:rsid w:val="107F49DA"/>
    <w:rsid w:val="11103FB2"/>
    <w:rsid w:val="113065C7"/>
    <w:rsid w:val="11551C0D"/>
    <w:rsid w:val="11630C29"/>
    <w:rsid w:val="12374305"/>
    <w:rsid w:val="12AB3D92"/>
    <w:rsid w:val="132D67B3"/>
    <w:rsid w:val="13320F8E"/>
    <w:rsid w:val="13E72023"/>
    <w:rsid w:val="146D7C3C"/>
    <w:rsid w:val="159705C2"/>
    <w:rsid w:val="182F44F3"/>
    <w:rsid w:val="184E41FF"/>
    <w:rsid w:val="1865790E"/>
    <w:rsid w:val="189E6B7E"/>
    <w:rsid w:val="18E41C4F"/>
    <w:rsid w:val="18EA25BB"/>
    <w:rsid w:val="193B3817"/>
    <w:rsid w:val="19497A6B"/>
    <w:rsid w:val="19DF1744"/>
    <w:rsid w:val="1A8B6B5A"/>
    <w:rsid w:val="1AF5353D"/>
    <w:rsid w:val="1B493578"/>
    <w:rsid w:val="1B5723EF"/>
    <w:rsid w:val="1B93321C"/>
    <w:rsid w:val="1BAD400C"/>
    <w:rsid w:val="1C380FAC"/>
    <w:rsid w:val="1DE81A96"/>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4D32BC2"/>
    <w:rsid w:val="2575459C"/>
    <w:rsid w:val="258F1C50"/>
    <w:rsid w:val="260C2C13"/>
    <w:rsid w:val="26DE5391"/>
    <w:rsid w:val="26F92D9C"/>
    <w:rsid w:val="27727EF2"/>
    <w:rsid w:val="27E167C8"/>
    <w:rsid w:val="27E8188C"/>
    <w:rsid w:val="27FC6D6D"/>
    <w:rsid w:val="286E79EF"/>
    <w:rsid w:val="295D2E54"/>
    <w:rsid w:val="29814378"/>
    <w:rsid w:val="29E733A5"/>
    <w:rsid w:val="29EC6ACA"/>
    <w:rsid w:val="2A6F6F5A"/>
    <w:rsid w:val="2A752D03"/>
    <w:rsid w:val="2AD02384"/>
    <w:rsid w:val="2B6C2AA5"/>
    <w:rsid w:val="2C3A64AA"/>
    <w:rsid w:val="2C603C27"/>
    <w:rsid w:val="2CC9483E"/>
    <w:rsid w:val="2CD61AC0"/>
    <w:rsid w:val="2D003A0D"/>
    <w:rsid w:val="2D01327E"/>
    <w:rsid w:val="2D225054"/>
    <w:rsid w:val="2D3E76EB"/>
    <w:rsid w:val="2D675D4F"/>
    <w:rsid w:val="2E3D6C9E"/>
    <w:rsid w:val="2E681D4B"/>
    <w:rsid w:val="2E763F41"/>
    <w:rsid w:val="2ED755ED"/>
    <w:rsid w:val="2F2D5CF3"/>
    <w:rsid w:val="2FFD053A"/>
    <w:rsid w:val="305074F8"/>
    <w:rsid w:val="30567424"/>
    <w:rsid w:val="30A47F0F"/>
    <w:rsid w:val="31AE2E30"/>
    <w:rsid w:val="31E67E2C"/>
    <w:rsid w:val="32145B6C"/>
    <w:rsid w:val="32482F63"/>
    <w:rsid w:val="32887A79"/>
    <w:rsid w:val="3367096B"/>
    <w:rsid w:val="34015BA1"/>
    <w:rsid w:val="34104944"/>
    <w:rsid w:val="34607C42"/>
    <w:rsid w:val="34AD3121"/>
    <w:rsid w:val="35850C85"/>
    <w:rsid w:val="358537EA"/>
    <w:rsid w:val="359B0409"/>
    <w:rsid w:val="3645059F"/>
    <w:rsid w:val="36FA0C0E"/>
    <w:rsid w:val="37564C34"/>
    <w:rsid w:val="37AF0C3F"/>
    <w:rsid w:val="381338B3"/>
    <w:rsid w:val="3832619C"/>
    <w:rsid w:val="387820A1"/>
    <w:rsid w:val="391D2725"/>
    <w:rsid w:val="39217E3A"/>
    <w:rsid w:val="39241426"/>
    <w:rsid w:val="3A0A5821"/>
    <w:rsid w:val="3AE30FAC"/>
    <w:rsid w:val="3B3A67B9"/>
    <w:rsid w:val="3BB47094"/>
    <w:rsid w:val="3BD82555"/>
    <w:rsid w:val="3C396CD8"/>
    <w:rsid w:val="3D912EF9"/>
    <w:rsid w:val="3DA25E25"/>
    <w:rsid w:val="3E103198"/>
    <w:rsid w:val="3E5C675F"/>
    <w:rsid w:val="3EBE1131"/>
    <w:rsid w:val="3F541632"/>
    <w:rsid w:val="4003626C"/>
    <w:rsid w:val="410C5355"/>
    <w:rsid w:val="416F0B2D"/>
    <w:rsid w:val="41817FB6"/>
    <w:rsid w:val="41894D39"/>
    <w:rsid w:val="41C408EB"/>
    <w:rsid w:val="426D0D62"/>
    <w:rsid w:val="42893EDE"/>
    <w:rsid w:val="42C02DF3"/>
    <w:rsid w:val="42CD5B5D"/>
    <w:rsid w:val="43102EB4"/>
    <w:rsid w:val="431A22B8"/>
    <w:rsid w:val="439A1C32"/>
    <w:rsid w:val="43C05837"/>
    <w:rsid w:val="43EA5A8B"/>
    <w:rsid w:val="440E56DA"/>
    <w:rsid w:val="443E01E7"/>
    <w:rsid w:val="44665196"/>
    <w:rsid w:val="44D66D93"/>
    <w:rsid w:val="45484D77"/>
    <w:rsid w:val="45976AE3"/>
    <w:rsid w:val="46653F5C"/>
    <w:rsid w:val="4670116D"/>
    <w:rsid w:val="46BF177E"/>
    <w:rsid w:val="46CC0FBC"/>
    <w:rsid w:val="46F821E8"/>
    <w:rsid w:val="47E92A18"/>
    <w:rsid w:val="484F3834"/>
    <w:rsid w:val="486A1208"/>
    <w:rsid w:val="487E3CCE"/>
    <w:rsid w:val="48C422BD"/>
    <w:rsid w:val="49F61C6A"/>
    <w:rsid w:val="4A2F0F8F"/>
    <w:rsid w:val="4B21070C"/>
    <w:rsid w:val="4C6D260E"/>
    <w:rsid w:val="4CA65850"/>
    <w:rsid w:val="4D4867BB"/>
    <w:rsid w:val="4D7854C0"/>
    <w:rsid w:val="4E1E1D89"/>
    <w:rsid w:val="4FA771C2"/>
    <w:rsid w:val="4FB17723"/>
    <w:rsid w:val="4FDC7DDA"/>
    <w:rsid w:val="5003209D"/>
    <w:rsid w:val="508E2B4E"/>
    <w:rsid w:val="524A480D"/>
    <w:rsid w:val="5263348D"/>
    <w:rsid w:val="527E7420"/>
    <w:rsid w:val="5292301A"/>
    <w:rsid w:val="52C10CD7"/>
    <w:rsid w:val="52F64CB8"/>
    <w:rsid w:val="52FB39A7"/>
    <w:rsid w:val="5446604D"/>
    <w:rsid w:val="547E1AE0"/>
    <w:rsid w:val="54F554AC"/>
    <w:rsid w:val="551A0D5D"/>
    <w:rsid w:val="55EE4C06"/>
    <w:rsid w:val="561A148B"/>
    <w:rsid w:val="565B213D"/>
    <w:rsid w:val="56D444B4"/>
    <w:rsid w:val="572D0183"/>
    <w:rsid w:val="57567F4A"/>
    <w:rsid w:val="57667B7B"/>
    <w:rsid w:val="578D66D2"/>
    <w:rsid w:val="57DC4038"/>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793595"/>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264D03"/>
    <w:rsid w:val="694F76A8"/>
    <w:rsid w:val="69884565"/>
    <w:rsid w:val="69F16575"/>
    <w:rsid w:val="69FE6269"/>
    <w:rsid w:val="6B110ED0"/>
    <w:rsid w:val="6BF5199F"/>
    <w:rsid w:val="6C81461E"/>
    <w:rsid w:val="6CE610BF"/>
    <w:rsid w:val="6CED312F"/>
    <w:rsid w:val="6D1916FD"/>
    <w:rsid w:val="6D226C43"/>
    <w:rsid w:val="6D535020"/>
    <w:rsid w:val="6DCF5925"/>
    <w:rsid w:val="6E383ABA"/>
    <w:rsid w:val="6E8B493F"/>
    <w:rsid w:val="6EA3545A"/>
    <w:rsid w:val="6F9F7F7D"/>
    <w:rsid w:val="71097A75"/>
    <w:rsid w:val="719A4F83"/>
    <w:rsid w:val="71DE50A5"/>
    <w:rsid w:val="722B548E"/>
    <w:rsid w:val="722E4AEA"/>
    <w:rsid w:val="73683978"/>
    <w:rsid w:val="73F43F5E"/>
    <w:rsid w:val="7438150C"/>
    <w:rsid w:val="746F037C"/>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5">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6">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2"/>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4"/>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18</Pages>
  <Words>6312</Words>
  <Characters>6624</Characters>
  <Lines>0</Lines>
  <Paragraphs>0</Paragraphs>
  <TotalTime>4</TotalTime>
  <ScaleCrop>false</ScaleCrop>
  <LinksUpToDate>false</LinksUpToDate>
  <CharactersWithSpaces>6826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天哥</cp:lastModifiedBy>
  <cp:lastPrinted>2019-09-23T08:20:00Z</cp:lastPrinted>
  <dcterms:modified xsi:type="dcterms:W3CDTF">2023-09-05T00:38:12Z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7BAC88278F2F4FD985FFF3BA724B8CAA_13</vt:lpwstr>
  </property>
</Properties>
</file>